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38F8C">
      <w:pPr>
        <w:spacing w:line="300" w:lineRule="auto"/>
        <w:rPr>
          <w:rFonts w:eastAsia="宋体"/>
          <w:color w:val="000000" w:themeColor="text1"/>
          <w:sz w:val="32"/>
          <w:szCs w:val="32"/>
          <w14:textFill>
            <w14:solidFill>
              <w14:schemeClr w14:val="tx1"/>
            </w14:solidFill>
          </w14:textFill>
        </w:rPr>
      </w:pPr>
      <w:bookmarkStart w:id="0" w:name="_Hlk110611484"/>
      <w:bookmarkEnd w:id="0"/>
    </w:p>
    <w:p w14:paraId="60F0890E">
      <w:pPr>
        <w:adjustRightInd w:val="0"/>
        <w:snapToGrid w:val="0"/>
        <w:jc w:val="center"/>
        <w:rPr>
          <w:rFonts w:eastAsia="宋体"/>
          <w:bCs/>
          <w:snapToGrid w:val="0"/>
          <w:color w:val="000000" w:themeColor="text1"/>
          <w:kern w:val="0"/>
          <w:sz w:val="36"/>
          <w:szCs w:val="36"/>
          <w14:textFill>
            <w14:solidFill>
              <w14:schemeClr w14:val="tx1"/>
            </w14:solidFill>
          </w14:textFill>
        </w:rPr>
      </w:pPr>
    </w:p>
    <w:p w14:paraId="10750DCA">
      <w:pPr>
        <w:rPr>
          <w:rFonts w:eastAsia="宋体"/>
          <w:color w:val="000000" w:themeColor="text1"/>
          <w:sz w:val="18"/>
          <w:szCs w:val="18"/>
          <w14:textFill>
            <w14:solidFill>
              <w14:schemeClr w14:val="tx1"/>
            </w14:solidFill>
          </w14:textFill>
        </w:rPr>
      </w:pPr>
    </w:p>
    <w:p w14:paraId="5CF83428">
      <w:pPr>
        <w:rPr>
          <w:rFonts w:eastAsia="宋体"/>
          <w:color w:val="000000" w:themeColor="text1"/>
          <w:sz w:val="36"/>
          <w:szCs w:val="36"/>
          <w14:textFill>
            <w14:solidFill>
              <w14:schemeClr w14:val="tx1"/>
            </w14:solidFill>
          </w14:textFill>
        </w:rPr>
      </w:pPr>
    </w:p>
    <w:p w14:paraId="21FE00BE">
      <w:pPr>
        <w:rPr>
          <w:rFonts w:eastAsia="宋体"/>
          <w:color w:val="000000" w:themeColor="text1"/>
          <w:sz w:val="36"/>
          <w:szCs w:val="36"/>
          <w14:textFill>
            <w14:solidFill>
              <w14:schemeClr w14:val="tx1"/>
            </w14:solidFill>
          </w14:textFill>
        </w:rPr>
      </w:pPr>
    </w:p>
    <w:p w14:paraId="092AE001">
      <w:pPr>
        <w:rPr>
          <w:rFonts w:eastAsia="宋体"/>
          <w:color w:val="000000" w:themeColor="text1"/>
          <w:sz w:val="36"/>
          <w:szCs w:val="36"/>
          <w14:textFill>
            <w14:solidFill>
              <w14:schemeClr w14:val="tx1"/>
            </w14:solidFill>
          </w14:textFill>
        </w:rPr>
      </w:pPr>
    </w:p>
    <w:p w14:paraId="13F42FCC">
      <w:pPr>
        <w:rPr>
          <w:rFonts w:eastAsia="宋体"/>
          <w:color w:val="000000" w:themeColor="text1"/>
          <w:sz w:val="36"/>
          <w:szCs w:val="36"/>
          <w14:textFill>
            <w14:solidFill>
              <w14:schemeClr w14:val="tx1"/>
            </w14:solidFill>
          </w14:textFill>
        </w:rPr>
      </w:pPr>
    </w:p>
    <w:p w14:paraId="08BF0778">
      <w:pPr>
        <w:rPr>
          <w:rFonts w:eastAsia="宋体"/>
          <w:color w:val="000000" w:themeColor="text1"/>
          <w:sz w:val="36"/>
          <w:szCs w:val="36"/>
          <w14:textFill>
            <w14:solidFill>
              <w14:schemeClr w14:val="tx1"/>
            </w14:solidFill>
          </w14:textFill>
        </w:rPr>
      </w:pPr>
    </w:p>
    <w:p w14:paraId="0AB035F8">
      <w:pPr>
        <w:adjustRightInd w:val="0"/>
        <w:snapToGrid w:val="0"/>
        <w:jc w:val="center"/>
        <w:rPr>
          <w:rFonts w:eastAsia="宋体"/>
          <w:bCs/>
          <w:color w:val="000000" w:themeColor="text1"/>
          <w:sz w:val="60"/>
          <w:szCs w:val="60"/>
          <w14:textFill>
            <w14:solidFill>
              <w14:schemeClr w14:val="tx1"/>
            </w14:solidFill>
          </w14:textFill>
        </w:rPr>
      </w:pPr>
      <w:bookmarkStart w:id="1" w:name="_Toc29796"/>
      <w:r>
        <w:rPr>
          <w:rFonts w:eastAsia="宋体"/>
          <w:bCs/>
          <w:color w:val="000000" w:themeColor="text1"/>
          <w:sz w:val="60"/>
          <w:szCs w:val="60"/>
          <w14:textFill>
            <w14:solidFill>
              <w14:schemeClr w14:val="tx1"/>
            </w14:solidFill>
          </w14:textFill>
        </w:rPr>
        <w:t>建设项目</w:t>
      </w:r>
      <w:r>
        <w:rPr>
          <w:rFonts w:hint="eastAsia" w:eastAsia="宋体"/>
          <w:bCs/>
          <w:color w:val="000000" w:themeColor="text1"/>
          <w:sz w:val="60"/>
          <w:szCs w:val="60"/>
          <w:lang w:val="en-US" w:eastAsia="zh-CN"/>
          <w14:textFill>
            <w14:solidFill>
              <w14:schemeClr w14:val="tx1"/>
            </w14:solidFill>
          </w14:textFill>
        </w:rPr>
        <w:t>生态</w:t>
      </w:r>
      <w:r>
        <w:rPr>
          <w:rFonts w:eastAsia="宋体"/>
          <w:bCs/>
          <w:color w:val="000000" w:themeColor="text1"/>
          <w:sz w:val="60"/>
          <w:szCs w:val="60"/>
          <w14:textFill>
            <w14:solidFill>
              <w14:schemeClr w14:val="tx1"/>
            </w14:solidFill>
          </w14:textFill>
        </w:rPr>
        <w:t>环境影响报告表</w:t>
      </w:r>
      <w:bookmarkEnd w:id="1"/>
    </w:p>
    <w:p w14:paraId="6D1A5104">
      <w:pPr>
        <w:adjustRightInd w:val="0"/>
        <w:snapToGrid w:val="0"/>
        <w:spacing w:before="192" w:beforeLines="80"/>
        <w:jc w:val="center"/>
        <w:rPr>
          <w:rFonts w:eastAsia="宋体"/>
          <w:color w:val="000000" w:themeColor="text1"/>
          <w:kern w:val="44"/>
          <w:sz w:val="44"/>
          <w:szCs w:val="44"/>
          <w14:textFill>
            <w14:solidFill>
              <w14:schemeClr w14:val="tx1"/>
            </w14:solidFill>
          </w14:textFill>
        </w:rPr>
      </w:pPr>
      <w:r>
        <w:rPr>
          <w:rFonts w:eastAsia="宋体"/>
          <w:bCs/>
          <w:color w:val="000000" w:themeColor="text1"/>
          <w:sz w:val="48"/>
          <w:szCs w:val="48"/>
          <w14:textFill>
            <w14:solidFill>
              <w14:schemeClr w14:val="tx1"/>
            </w14:solidFill>
          </w14:textFill>
        </w:rPr>
        <w:t>（污染影响类）</w:t>
      </w:r>
    </w:p>
    <w:p w14:paraId="0D129D2C">
      <w:pPr>
        <w:jc w:val="center"/>
        <w:rPr>
          <w:rFonts w:eastAsia="宋体"/>
          <w:color w:val="000000" w:themeColor="text1"/>
          <w:sz w:val="52"/>
          <w:szCs w:val="52"/>
          <w14:textFill>
            <w14:solidFill>
              <w14:schemeClr w14:val="tx1"/>
            </w14:solidFill>
          </w14:textFill>
        </w:rPr>
      </w:pPr>
    </w:p>
    <w:p w14:paraId="6ECF1A6D">
      <w:pPr>
        <w:ind w:firstLine="1040"/>
        <w:rPr>
          <w:rFonts w:eastAsia="宋体"/>
          <w:color w:val="000000" w:themeColor="text1"/>
          <w:sz w:val="44"/>
          <w:szCs w:val="44"/>
          <w14:textFill>
            <w14:solidFill>
              <w14:schemeClr w14:val="tx1"/>
            </w14:solidFill>
          </w14:textFill>
        </w:rPr>
      </w:pPr>
    </w:p>
    <w:p w14:paraId="073C282B">
      <w:pPr>
        <w:ind w:firstLine="1040"/>
        <w:rPr>
          <w:rFonts w:eastAsia="宋体"/>
          <w:color w:val="000000" w:themeColor="text1"/>
          <w:sz w:val="44"/>
          <w:szCs w:val="44"/>
          <w14:textFill>
            <w14:solidFill>
              <w14:schemeClr w14:val="tx1"/>
            </w14:solidFill>
          </w14:textFill>
        </w:rPr>
      </w:pPr>
    </w:p>
    <w:p w14:paraId="44CE3EB2">
      <w:pPr>
        <w:ind w:firstLine="1040"/>
        <w:rPr>
          <w:rFonts w:eastAsia="宋体"/>
          <w:color w:val="000000" w:themeColor="text1"/>
          <w:sz w:val="44"/>
          <w:szCs w:val="44"/>
          <w14:textFill>
            <w14:solidFill>
              <w14:schemeClr w14:val="tx1"/>
            </w14:solidFill>
          </w14:textFill>
        </w:rPr>
      </w:pPr>
    </w:p>
    <w:p w14:paraId="7913D560">
      <w:pPr>
        <w:ind w:firstLine="1040"/>
        <w:rPr>
          <w:rFonts w:eastAsia="宋体"/>
          <w:color w:val="000000" w:themeColor="text1"/>
          <w:sz w:val="44"/>
          <w:szCs w:val="44"/>
          <w14:textFill>
            <w14:solidFill>
              <w14:schemeClr w14:val="tx1"/>
            </w14:solidFill>
          </w14:textFill>
        </w:rPr>
      </w:pPr>
    </w:p>
    <w:p w14:paraId="5D1529E4">
      <w:pPr>
        <w:pStyle w:val="39"/>
        <w:rPr>
          <w:rFonts w:eastAsia="宋体"/>
          <w:color w:val="000000" w:themeColor="text1"/>
          <w:sz w:val="44"/>
          <w:szCs w:val="44"/>
          <w14:textFill>
            <w14:solidFill>
              <w14:schemeClr w14:val="tx1"/>
            </w14:solidFill>
          </w14:textFill>
        </w:rPr>
      </w:pPr>
    </w:p>
    <w:p w14:paraId="4F99431F">
      <w:pPr>
        <w:rPr>
          <w:rFonts w:eastAsia="宋体"/>
          <w:color w:val="000000" w:themeColor="text1"/>
          <w:sz w:val="44"/>
          <w:szCs w:val="44"/>
          <w14:textFill>
            <w14:solidFill>
              <w14:schemeClr w14:val="tx1"/>
            </w14:solidFill>
          </w14:textFill>
        </w:rPr>
      </w:pPr>
    </w:p>
    <w:p w14:paraId="6CA7CF81">
      <w:pPr>
        <w:rPr>
          <w:rFonts w:eastAsia="宋体"/>
          <w:color w:val="000000" w:themeColor="text1"/>
          <w14:textFill>
            <w14:solidFill>
              <w14:schemeClr w14:val="tx1"/>
            </w14:solidFill>
          </w14:textFill>
        </w:rPr>
      </w:pPr>
    </w:p>
    <w:p w14:paraId="709C8CD4">
      <w:pPr>
        <w:adjustRightInd w:val="0"/>
        <w:snapToGrid w:val="0"/>
        <w:spacing w:line="288" w:lineRule="auto"/>
        <w:ind w:left="2545" w:leftChars="513" w:hanging="1468" w:hangingChars="459"/>
        <w:jc w:val="left"/>
        <w:rPr>
          <w:rFonts w:hint="eastAsia" w:eastAsia="宋体"/>
          <w:color w:val="000000" w:themeColor="text1"/>
          <w:sz w:val="32"/>
          <w:szCs w:val="32"/>
          <w:u w:val="single"/>
          <w:lang w:eastAsia="zh-CN"/>
          <w14:textFill>
            <w14:solidFill>
              <w14:schemeClr w14:val="tx1"/>
            </w14:solidFill>
          </w14:textFill>
        </w:rPr>
      </w:pPr>
      <w:r>
        <w:rPr>
          <w:rFonts w:eastAsia="宋体"/>
          <w:color w:val="000000" w:themeColor="text1"/>
          <w:sz w:val="32"/>
          <w:szCs w:val="32"/>
          <w14:textFill>
            <w14:solidFill>
              <w14:schemeClr w14:val="tx1"/>
            </w14:solidFill>
          </w14:textFill>
        </w:rPr>
        <w:t>项目名称：</w:t>
      </w:r>
      <w:r>
        <w:rPr>
          <w:rFonts w:hint="eastAsia" w:eastAsia="宋体"/>
          <w:color w:val="000000" w:themeColor="text1"/>
          <w:sz w:val="32"/>
          <w:szCs w:val="32"/>
          <w:u w:val="single"/>
          <w:lang w:eastAsia="zh-CN"/>
          <w14:textFill>
            <w14:solidFill>
              <w14:schemeClr w14:val="tx1"/>
            </w14:solidFill>
          </w14:textFill>
        </w:rPr>
        <w:t>黑龙江省沃科丰农业科技有限公司新建项目</w:t>
      </w:r>
    </w:p>
    <w:p w14:paraId="3960BEC0">
      <w:pPr>
        <w:adjustRightInd w:val="0"/>
        <w:snapToGrid w:val="0"/>
        <w:spacing w:line="288" w:lineRule="auto"/>
        <w:ind w:left="3797" w:leftChars="513" w:hanging="2720" w:hangingChars="850"/>
        <w:jc w:val="left"/>
        <w:rPr>
          <w:rFonts w:eastAsia="宋体"/>
          <w:color w:val="000000" w:themeColor="text1"/>
          <w:sz w:val="32"/>
          <w:szCs w:val="32"/>
          <w:u w:val="single"/>
          <w14:textFill>
            <w14:solidFill>
              <w14:schemeClr w14:val="tx1"/>
            </w14:solidFill>
          </w14:textFill>
        </w:rPr>
      </w:pPr>
      <w:r>
        <w:rPr>
          <w:rFonts w:eastAsia="宋体"/>
          <w:color w:val="000000" w:themeColor="text1"/>
          <w:sz w:val="32"/>
          <w:szCs w:val="32"/>
          <w14:textFill>
            <w14:solidFill>
              <w14:schemeClr w14:val="tx1"/>
            </w14:solidFill>
          </w14:textFill>
        </w:rPr>
        <w:t>建设单位（盖章）：</w:t>
      </w:r>
      <w:r>
        <w:rPr>
          <w:rFonts w:eastAsia="宋体"/>
          <w:color w:val="000000" w:themeColor="text1"/>
          <w:sz w:val="32"/>
          <w:szCs w:val="32"/>
          <w:u w:val="single"/>
          <w14:textFill>
            <w14:solidFill>
              <w14:schemeClr w14:val="tx1"/>
            </w14:solidFill>
          </w14:textFill>
        </w:rPr>
        <w:t>黑龙江省沃科丰农业科技有限公司</w:t>
      </w:r>
    </w:p>
    <w:p w14:paraId="3BB7DC74">
      <w:pPr>
        <w:adjustRightInd w:val="0"/>
        <w:snapToGrid w:val="0"/>
        <w:spacing w:line="288" w:lineRule="auto"/>
        <w:ind w:firstLine="1040"/>
        <w:rPr>
          <w:rFonts w:eastAsia="宋体"/>
          <w:color w:val="000000" w:themeColor="text1"/>
          <w:sz w:val="32"/>
          <w:szCs w:val="32"/>
          <w:u w:val="single"/>
          <w14:textFill>
            <w14:solidFill>
              <w14:schemeClr w14:val="tx1"/>
            </w14:solidFill>
          </w14:textFill>
        </w:rPr>
      </w:pPr>
      <w:r>
        <w:rPr>
          <w:rFonts w:eastAsia="宋体"/>
          <w:color w:val="000000" w:themeColor="text1"/>
          <w:sz w:val="32"/>
          <w:szCs w:val="32"/>
          <w14:textFill>
            <w14:solidFill>
              <w14:schemeClr w14:val="tx1"/>
            </w14:solidFill>
          </w14:textFill>
        </w:rPr>
        <w:t>编制日期：</w:t>
      </w:r>
      <w:r>
        <w:rPr>
          <w:rFonts w:eastAsia="宋体"/>
          <w:color w:val="000000" w:themeColor="text1"/>
          <w:sz w:val="32"/>
          <w:szCs w:val="32"/>
          <w:u w:val="single"/>
          <w14:textFill>
            <w14:solidFill>
              <w14:schemeClr w14:val="tx1"/>
            </w14:solidFill>
          </w14:textFill>
        </w:rPr>
        <w:t>2026年</w:t>
      </w:r>
      <w:r>
        <w:rPr>
          <w:rFonts w:hint="eastAsia" w:eastAsia="宋体"/>
          <w:color w:val="000000" w:themeColor="text1"/>
          <w:sz w:val="32"/>
          <w:szCs w:val="32"/>
          <w:u w:val="single"/>
          <w:lang w:val="en-US" w:eastAsia="zh-CN"/>
          <w14:textFill>
            <w14:solidFill>
              <w14:schemeClr w14:val="tx1"/>
            </w14:solidFill>
          </w14:textFill>
        </w:rPr>
        <w:t>9</w:t>
      </w:r>
      <w:r>
        <w:rPr>
          <w:rFonts w:eastAsia="宋体"/>
          <w:color w:val="000000" w:themeColor="text1"/>
          <w:sz w:val="32"/>
          <w:szCs w:val="32"/>
          <w:u w:val="single"/>
          <w14:textFill>
            <w14:solidFill>
              <w14:schemeClr w14:val="tx1"/>
            </w14:solidFill>
          </w14:textFill>
        </w:rPr>
        <w:t xml:space="preserve">月                         </w:t>
      </w:r>
    </w:p>
    <w:p w14:paraId="41611C9F">
      <w:pPr>
        <w:adjustRightInd w:val="0"/>
        <w:snapToGrid w:val="0"/>
        <w:spacing w:line="288" w:lineRule="auto"/>
        <w:ind w:firstLine="1040"/>
        <w:rPr>
          <w:rFonts w:eastAsia="宋体"/>
          <w:color w:val="000000" w:themeColor="text1"/>
          <w:sz w:val="36"/>
          <w:szCs w:val="36"/>
          <w:u w:val="single"/>
          <w14:textFill>
            <w14:solidFill>
              <w14:schemeClr w14:val="tx1"/>
            </w14:solidFill>
          </w14:textFill>
        </w:rPr>
      </w:pPr>
      <w:bookmarkStart w:id="2" w:name="_Hlk57884087"/>
    </w:p>
    <w:p w14:paraId="61AEB522">
      <w:pPr>
        <w:adjustRightInd w:val="0"/>
        <w:snapToGrid w:val="0"/>
        <w:spacing w:line="288" w:lineRule="auto"/>
        <w:ind w:firstLine="1040"/>
        <w:rPr>
          <w:rFonts w:eastAsia="宋体"/>
          <w:color w:val="000000" w:themeColor="text1"/>
          <w:sz w:val="36"/>
          <w:szCs w:val="36"/>
          <w14:textFill>
            <w14:solidFill>
              <w14:schemeClr w14:val="tx1"/>
            </w14:solidFill>
          </w14:textFill>
        </w:rPr>
      </w:pPr>
    </w:p>
    <w:p w14:paraId="35F6C1C4">
      <w:pPr>
        <w:adjustRightInd w:val="0"/>
        <w:snapToGrid w:val="0"/>
        <w:spacing w:line="288" w:lineRule="auto"/>
        <w:ind w:firstLine="1040"/>
        <w:rPr>
          <w:rFonts w:eastAsia="宋体"/>
          <w:color w:val="000000" w:themeColor="text1"/>
          <w:sz w:val="36"/>
          <w:szCs w:val="36"/>
          <w14:textFill>
            <w14:solidFill>
              <w14:schemeClr w14:val="tx1"/>
            </w14:solidFill>
          </w14:textFill>
        </w:rPr>
      </w:pPr>
    </w:p>
    <w:bookmarkEnd w:id="2"/>
    <w:p w14:paraId="7B40844E">
      <w:pPr>
        <w:adjustRightInd w:val="0"/>
        <w:snapToGrid w:val="0"/>
        <w:spacing w:line="288" w:lineRule="auto"/>
        <w:jc w:val="center"/>
        <w:rPr>
          <w:rFonts w:eastAsia="宋体"/>
          <w:color w:val="000000" w:themeColor="text1"/>
          <w:sz w:val="36"/>
          <w:szCs w:val="36"/>
          <w14:textFill>
            <w14:solidFill>
              <w14:schemeClr w14:val="tx1"/>
            </w14:solidFill>
          </w14:textFill>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r>
        <w:rPr>
          <w:rFonts w:eastAsia="宋体"/>
          <w:color w:val="000000" w:themeColor="text1"/>
          <w:sz w:val="36"/>
          <w:szCs w:val="36"/>
          <w14:textFill>
            <w14:solidFill>
              <w14:schemeClr w14:val="tx1"/>
            </w14:solidFill>
          </w14:textFill>
        </w:rPr>
        <w:t>中华人民共和国生态环境部制</w:t>
      </w:r>
    </w:p>
    <w:p w14:paraId="796F39BD">
      <w:pPr>
        <w:rPr>
          <w:rFonts w:eastAsia="宋体"/>
          <w:color w:val="000000" w:themeColor="text1"/>
          <w14:textFill>
            <w14:solidFill>
              <w14:schemeClr w14:val="tx1"/>
            </w14:solidFill>
          </w14:textFill>
        </w:rPr>
      </w:pPr>
      <w:r>
        <w:drawing>
          <wp:inline distT="0" distB="0" distL="114300" distR="114300">
            <wp:extent cx="5273675" cy="7440295"/>
            <wp:effectExtent l="0" t="0" r="3175" b="8255"/>
            <wp:docPr id="9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1"/>
                    <pic:cNvPicPr>
                      <a:picLocks noChangeAspect="1"/>
                    </pic:cNvPicPr>
                  </pic:nvPicPr>
                  <pic:blipFill>
                    <a:blip r:embed="rId21"/>
                    <a:stretch>
                      <a:fillRect/>
                    </a:stretch>
                  </pic:blipFill>
                  <pic:spPr>
                    <a:xfrm>
                      <a:off x="0" y="0"/>
                      <a:ext cx="5273675" cy="7440295"/>
                    </a:xfrm>
                    <a:prstGeom prst="rect">
                      <a:avLst/>
                    </a:prstGeom>
                    <a:noFill/>
                    <a:ln>
                      <a:noFill/>
                    </a:ln>
                  </pic:spPr>
                </pic:pic>
              </a:graphicData>
            </a:graphic>
          </wp:inline>
        </w:drawing>
      </w:r>
    </w:p>
    <w:sdt>
      <w:sdtPr>
        <w:rPr>
          <w:rFonts w:eastAsia="宋体"/>
          <w:color w:val="000000" w:themeColor="text1"/>
          <w:sz w:val="28"/>
          <w:szCs w:val="36"/>
          <w14:textFill>
            <w14:solidFill>
              <w14:schemeClr w14:val="tx1"/>
            </w14:solidFill>
          </w14:textFill>
        </w:rPr>
        <w:id w:val="147471105"/>
        <w:docPartObj>
          <w:docPartGallery w:val="Table of Contents"/>
          <w:docPartUnique/>
        </w:docPartObj>
      </w:sdtPr>
      <w:sdtEndPr>
        <w:rPr>
          <w:rFonts w:eastAsia="宋体"/>
          <w:color w:val="000000" w:themeColor="text1"/>
          <w:sz w:val="21"/>
          <w:szCs w:val="24"/>
          <w14:textFill>
            <w14:solidFill>
              <w14:schemeClr w14:val="tx1"/>
            </w14:solidFill>
          </w14:textFill>
        </w:rPr>
      </w:sdtEndPr>
      <w:sdtContent>
        <w:p w14:paraId="4FD561F4">
          <w:pPr>
            <w:keepNext w:val="0"/>
            <w:keepLines w:val="0"/>
            <w:pageBreakBefore/>
            <w:widowControl w:val="0"/>
            <w:kinsoku/>
            <w:wordWrap/>
            <w:overflowPunct/>
            <w:topLinePunct w:val="0"/>
            <w:autoSpaceDE/>
            <w:autoSpaceDN/>
            <w:bidi w:val="0"/>
            <w:adjustRightInd/>
            <w:snapToGrid/>
            <w:jc w:val="center"/>
            <w:textAlignment w:val="auto"/>
            <w:rPr>
              <w:rFonts w:eastAsia="宋体"/>
              <w:color w:val="000000" w:themeColor="text1"/>
              <w:sz w:val="36"/>
              <w:szCs w:val="36"/>
              <w14:textFill>
                <w14:solidFill>
                  <w14:schemeClr w14:val="tx1"/>
                </w14:solidFill>
              </w14:textFill>
            </w:rPr>
          </w:pPr>
          <w:r>
            <w:rPr>
              <w:rFonts w:eastAsia="宋体"/>
              <w:color w:val="000000" w:themeColor="text1"/>
              <w:sz w:val="36"/>
              <w:szCs w:val="36"/>
              <w14:textFill>
                <w14:solidFill>
                  <w14:schemeClr w14:val="tx1"/>
                </w14:solidFill>
              </w14:textFill>
            </w:rPr>
            <w:t>目 录</w:t>
          </w:r>
        </w:p>
        <w:p w14:paraId="10ED08EC">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color w:val="000000" w:themeColor="text1"/>
              <w14:textFill>
                <w14:solidFill>
                  <w14:schemeClr w14:val="tx1"/>
                </w14:solidFill>
              </w14:textFill>
            </w:rPr>
            <w:instrText xml:space="preserve">TOC \o "1-1" \h \u </w:instrText>
          </w:r>
          <w:r>
            <w:rPr>
              <w:rFonts w:eastAsia="宋体"/>
              <w:color w:val="000000" w:themeColor="text1"/>
              <w14:textFill>
                <w14:solidFill>
                  <w14:schemeClr w14:val="tx1"/>
                </w14:solidFill>
              </w14:textFill>
            </w:rPr>
            <w:fldChar w:fldCharType="separate"/>
          </w:r>
          <w:r>
            <w:rPr>
              <w:rFonts w:eastAsia="宋体"/>
              <w:color w:val="000000" w:themeColor="text1"/>
              <w14:textFill>
                <w14:solidFill>
                  <w14:schemeClr w14:val="tx1"/>
                </w14:solidFill>
              </w14:textFill>
            </w:rPr>
            <w:fldChar w:fldCharType="begin"/>
          </w:r>
          <w:r>
            <w:rPr>
              <w:rFonts w:eastAsia="宋体"/>
            </w:rPr>
            <w:instrText xml:space="preserve"> HYPERLINK \l _Toc3760 </w:instrText>
          </w:r>
          <w:r>
            <w:rPr>
              <w:rFonts w:eastAsia="宋体"/>
            </w:rPr>
            <w:fldChar w:fldCharType="separate"/>
          </w:r>
          <w:r>
            <w:rPr>
              <w:rFonts w:eastAsia="宋体"/>
              <w:bCs/>
              <w:snapToGrid w:val="0"/>
              <w:szCs w:val="30"/>
            </w:rPr>
            <w:t>一、建设项目基本情况</w:t>
          </w:r>
          <w:r>
            <w:tab/>
          </w:r>
          <w:r>
            <w:fldChar w:fldCharType="begin"/>
          </w:r>
          <w:r>
            <w:instrText xml:space="preserve"> PAGEREF _Toc3760 \h </w:instrText>
          </w:r>
          <w:r>
            <w:fldChar w:fldCharType="separate"/>
          </w:r>
          <w:r>
            <w:t>1</w:t>
          </w:r>
          <w:r>
            <w:fldChar w:fldCharType="end"/>
          </w:r>
          <w:r>
            <w:rPr>
              <w:rFonts w:eastAsia="宋体"/>
              <w:color w:val="000000" w:themeColor="text1"/>
              <w14:textFill>
                <w14:solidFill>
                  <w14:schemeClr w14:val="tx1"/>
                </w14:solidFill>
              </w14:textFill>
            </w:rPr>
            <w:fldChar w:fldCharType="end"/>
          </w:r>
        </w:p>
        <w:p w14:paraId="4E302F4C">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_Toc12941 </w:instrText>
          </w:r>
          <w:r>
            <w:rPr>
              <w:rFonts w:eastAsia="宋体"/>
            </w:rPr>
            <w:fldChar w:fldCharType="separate"/>
          </w:r>
          <w:r>
            <w:rPr>
              <w:rFonts w:ascii="Times New Roman" w:hAnsi="Times New Roman" w:eastAsia="宋体"/>
              <w:bCs/>
              <w:snapToGrid w:val="0"/>
              <w:szCs w:val="24"/>
            </w:rPr>
            <w:t>二、建设项目工程分析</w:t>
          </w:r>
          <w:r>
            <w:tab/>
          </w:r>
          <w:r>
            <w:fldChar w:fldCharType="begin"/>
          </w:r>
          <w:r>
            <w:instrText xml:space="preserve"> PAGEREF _Toc12941 \h </w:instrText>
          </w:r>
          <w:r>
            <w:fldChar w:fldCharType="separate"/>
          </w:r>
          <w:r>
            <w:t>13</w:t>
          </w:r>
          <w:r>
            <w:fldChar w:fldCharType="end"/>
          </w:r>
          <w:r>
            <w:rPr>
              <w:rFonts w:eastAsia="宋体"/>
              <w:color w:val="000000" w:themeColor="text1"/>
              <w14:textFill>
                <w14:solidFill>
                  <w14:schemeClr w14:val="tx1"/>
                </w14:solidFill>
              </w14:textFill>
            </w:rPr>
            <w:fldChar w:fldCharType="end"/>
          </w:r>
        </w:p>
        <w:p w14:paraId="03623CCA">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_Toc24711 </w:instrText>
          </w:r>
          <w:r>
            <w:rPr>
              <w:rFonts w:eastAsia="宋体"/>
            </w:rPr>
            <w:fldChar w:fldCharType="separate"/>
          </w:r>
          <w:r>
            <w:rPr>
              <w:rFonts w:ascii="Times New Roman" w:hAnsi="Times New Roman" w:eastAsia="宋体"/>
              <w:bCs/>
              <w:snapToGrid w:val="0"/>
              <w:szCs w:val="24"/>
            </w:rPr>
            <w:t>三、区域环境质量现状、环境保护目标及评价标准</w:t>
          </w:r>
          <w:r>
            <w:tab/>
          </w:r>
          <w:r>
            <w:fldChar w:fldCharType="begin"/>
          </w:r>
          <w:r>
            <w:instrText xml:space="preserve"> PAGEREF _Toc24711 \h </w:instrText>
          </w:r>
          <w:r>
            <w:fldChar w:fldCharType="separate"/>
          </w:r>
          <w:r>
            <w:t>21</w:t>
          </w:r>
          <w:r>
            <w:fldChar w:fldCharType="end"/>
          </w:r>
          <w:r>
            <w:rPr>
              <w:rFonts w:eastAsia="宋体"/>
              <w:color w:val="000000" w:themeColor="text1"/>
              <w14:textFill>
                <w14:solidFill>
                  <w14:schemeClr w14:val="tx1"/>
                </w14:solidFill>
              </w14:textFill>
            </w:rPr>
            <w:fldChar w:fldCharType="end"/>
          </w:r>
        </w:p>
        <w:p w14:paraId="50CB1B18">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_Toc8218 </w:instrText>
          </w:r>
          <w:r>
            <w:rPr>
              <w:rFonts w:eastAsia="宋体"/>
            </w:rPr>
            <w:fldChar w:fldCharType="separate"/>
          </w:r>
          <w:r>
            <w:rPr>
              <w:rFonts w:ascii="Times New Roman" w:hAnsi="Times New Roman" w:eastAsia="宋体"/>
              <w:bCs/>
              <w:snapToGrid w:val="0"/>
              <w:szCs w:val="24"/>
            </w:rPr>
            <w:t>四、主要环境影响和保护措施</w:t>
          </w:r>
          <w:r>
            <w:tab/>
          </w:r>
          <w:r>
            <w:fldChar w:fldCharType="begin"/>
          </w:r>
          <w:r>
            <w:instrText xml:space="preserve"> PAGEREF _Toc8218 \h </w:instrText>
          </w:r>
          <w:r>
            <w:fldChar w:fldCharType="separate"/>
          </w:r>
          <w:r>
            <w:t>26</w:t>
          </w:r>
          <w:r>
            <w:fldChar w:fldCharType="end"/>
          </w:r>
          <w:r>
            <w:rPr>
              <w:rFonts w:eastAsia="宋体"/>
              <w:color w:val="000000" w:themeColor="text1"/>
              <w14:textFill>
                <w14:solidFill>
                  <w14:schemeClr w14:val="tx1"/>
                </w14:solidFill>
              </w14:textFill>
            </w:rPr>
            <w:fldChar w:fldCharType="end"/>
          </w:r>
        </w:p>
        <w:p w14:paraId="3620A371">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_Toc591 </w:instrText>
          </w:r>
          <w:r>
            <w:rPr>
              <w:rFonts w:eastAsia="宋体"/>
            </w:rPr>
            <w:fldChar w:fldCharType="separate"/>
          </w:r>
          <w:r>
            <w:rPr>
              <w:rFonts w:ascii="Times New Roman" w:hAnsi="Times New Roman" w:eastAsia="宋体"/>
              <w:bCs/>
              <w:snapToGrid w:val="0"/>
              <w:szCs w:val="24"/>
            </w:rPr>
            <w:t>五、环境保护措施监督检查清单</w:t>
          </w:r>
          <w:r>
            <w:tab/>
          </w:r>
          <w:r>
            <w:fldChar w:fldCharType="begin"/>
          </w:r>
          <w:r>
            <w:instrText xml:space="preserve"> PAGEREF _Toc591 \h </w:instrText>
          </w:r>
          <w:r>
            <w:fldChar w:fldCharType="separate"/>
          </w:r>
          <w:r>
            <w:t>38</w:t>
          </w:r>
          <w:r>
            <w:fldChar w:fldCharType="end"/>
          </w:r>
          <w:r>
            <w:rPr>
              <w:rFonts w:eastAsia="宋体"/>
              <w:color w:val="000000" w:themeColor="text1"/>
              <w14:textFill>
                <w14:solidFill>
                  <w14:schemeClr w14:val="tx1"/>
                </w14:solidFill>
              </w14:textFill>
            </w:rPr>
            <w:fldChar w:fldCharType="end"/>
          </w:r>
        </w:p>
        <w:p w14:paraId="18B7F452">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_Toc16534 </w:instrText>
          </w:r>
          <w:r>
            <w:rPr>
              <w:rFonts w:eastAsia="宋体"/>
            </w:rPr>
            <w:fldChar w:fldCharType="separate"/>
          </w:r>
          <w:r>
            <w:rPr>
              <w:rFonts w:ascii="Times New Roman" w:hAnsi="Times New Roman" w:eastAsia="宋体"/>
              <w:bCs/>
              <w:snapToGrid w:val="0"/>
              <w:szCs w:val="24"/>
            </w:rPr>
            <w:t>六、结论</w:t>
          </w:r>
          <w:r>
            <w:tab/>
          </w:r>
          <w:r>
            <w:fldChar w:fldCharType="begin"/>
          </w:r>
          <w:r>
            <w:instrText xml:space="preserve"> PAGEREF _Toc16534 \h </w:instrText>
          </w:r>
          <w:r>
            <w:fldChar w:fldCharType="separate"/>
          </w:r>
          <w:r>
            <w:t>40</w:t>
          </w:r>
          <w:r>
            <w:fldChar w:fldCharType="end"/>
          </w:r>
          <w:r>
            <w:rPr>
              <w:rFonts w:eastAsia="宋体"/>
              <w:color w:val="000000" w:themeColor="text1"/>
              <w14:textFill>
                <w14:solidFill>
                  <w14:schemeClr w14:val="tx1"/>
                </w14:solidFill>
              </w14:textFill>
            </w:rPr>
            <w:fldChar w:fldCharType="end"/>
          </w:r>
        </w:p>
        <w:p w14:paraId="493DA636">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_Toc16383 </w:instrText>
          </w:r>
          <w:r>
            <w:rPr>
              <w:rFonts w:eastAsia="宋体"/>
            </w:rPr>
            <w:fldChar w:fldCharType="separate"/>
          </w:r>
          <w:r>
            <w:rPr>
              <w:rFonts w:ascii="Times New Roman" w:hAnsi="Times New Roman" w:eastAsia="宋体"/>
              <w:bCs/>
              <w:snapToGrid w:val="0"/>
              <w:szCs w:val="24"/>
            </w:rPr>
            <w:t>附表</w:t>
          </w:r>
          <w:r>
            <w:tab/>
          </w:r>
          <w:r>
            <w:fldChar w:fldCharType="begin"/>
          </w:r>
          <w:r>
            <w:instrText xml:space="preserve"> PAGEREF _Toc16383 \h </w:instrText>
          </w:r>
          <w:r>
            <w:fldChar w:fldCharType="separate"/>
          </w:r>
          <w:r>
            <w:t>41</w:t>
          </w:r>
          <w:r>
            <w:fldChar w:fldCharType="end"/>
          </w:r>
          <w:r>
            <w:rPr>
              <w:rFonts w:eastAsia="宋体"/>
              <w:color w:val="000000" w:themeColor="text1"/>
              <w14:textFill>
                <w14:solidFill>
                  <w14:schemeClr w14:val="tx1"/>
                </w14:solidFill>
              </w14:textFill>
            </w:rPr>
            <w:fldChar w:fldCharType="end"/>
          </w:r>
        </w:p>
        <w:p w14:paraId="5D785954">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_Toc6198 </w:instrText>
          </w:r>
          <w:r>
            <w:rPr>
              <w:rFonts w:eastAsia="宋体"/>
            </w:rPr>
            <w:fldChar w:fldCharType="separate"/>
          </w:r>
          <w:r>
            <w:rPr>
              <w:rFonts w:eastAsia="宋体"/>
              <w:bCs/>
              <w:snapToGrid w:val="0"/>
            </w:rPr>
            <w:t>附图1地理位置图</w:t>
          </w:r>
          <w:r>
            <w:tab/>
          </w:r>
          <w:r>
            <w:fldChar w:fldCharType="begin"/>
          </w:r>
          <w:r>
            <w:instrText xml:space="preserve"> PAGEREF _Toc6198 \h </w:instrText>
          </w:r>
          <w:r>
            <w:fldChar w:fldCharType="separate"/>
          </w:r>
          <w:r>
            <w:t>42</w:t>
          </w:r>
          <w:r>
            <w:fldChar w:fldCharType="end"/>
          </w:r>
          <w:r>
            <w:rPr>
              <w:rFonts w:eastAsia="宋体"/>
              <w:color w:val="000000" w:themeColor="text1"/>
              <w14:textFill>
                <w14:solidFill>
                  <w14:schemeClr w14:val="tx1"/>
                </w14:solidFill>
              </w14:textFill>
            </w:rPr>
            <w:fldChar w:fldCharType="end"/>
          </w:r>
        </w:p>
        <w:p w14:paraId="792D4A0C">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_Toc15533 </w:instrText>
          </w:r>
          <w:r>
            <w:rPr>
              <w:rFonts w:eastAsia="宋体"/>
            </w:rPr>
            <w:fldChar w:fldCharType="separate"/>
          </w:r>
          <w:r>
            <w:rPr>
              <w:rFonts w:ascii="Times New Roman" w:hAnsi="Times New Roman" w:eastAsia="宋体"/>
              <w:bCs/>
              <w:snapToGrid w:val="0"/>
              <w:szCs w:val="24"/>
            </w:rPr>
            <w:t>附图2平面布置图</w:t>
          </w:r>
          <w:r>
            <w:tab/>
          </w:r>
          <w:r>
            <w:fldChar w:fldCharType="begin"/>
          </w:r>
          <w:r>
            <w:instrText xml:space="preserve"> PAGEREF _Toc15533 \h </w:instrText>
          </w:r>
          <w:r>
            <w:fldChar w:fldCharType="separate"/>
          </w:r>
          <w:r>
            <w:t>43</w:t>
          </w:r>
          <w:r>
            <w:fldChar w:fldCharType="end"/>
          </w:r>
          <w:r>
            <w:rPr>
              <w:rFonts w:eastAsia="宋体"/>
              <w:color w:val="000000" w:themeColor="text1"/>
              <w14:textFill>
                <w14:solidFill>
                  <w14:schemeClr w14:val="tx1"/>
                </w14:solidFill>
              </w14:textFill>
            </w:rPr>
            <w:fldChar w:fldCharType="end"/>
          </w:r>
        </w:p>
        <w:p w14:paraId="799A1799">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_Toc30371 </w:instrText>
          </w:r>
          <w:r>
            <w:rPr>
              <w:rFonts w:eastAsia="宋体"/>
            </w:rPr>
            <w:fldChar w:fldCharType="separate"/>
          </w:r>
          <w:r>
            <w:rPr>
              <w:rFonts w:ascii="Times New Roman" w:hAnsi="Times New Roman" w:eastAsia="宋体"/>
              <w:bCs/>
              <w:snapToGrid w:val="0"/>
              <w:szCs w:val="24"/>
            </w:rPr>
            <w:t>附图3 厂界四周照片</w:t>
          </w:r>
          <w:r>
            <w:tab/>
          </w:r>
          <w:r>
            <w:fldChar w:fldCharType="begin"/>
          </w:r>
          <w:r>
            <w:instrText xml:space="preserve"> PAGEREF _Toc30371 \h </w:instrText>
          </w:r>
          <w:r>
            <w:fldChar w:fldCharType="separate"/>
          </w:r>
          <w:r>
            <w:t>44</w:t>
          </w:r>
          <w:r>
            <w:fldChar w:fldCharType="end"/>
          </w:r>
          <w:r>
            <w:rPr>
              <w:rFonts w:eastAsia="宋体"/>
              <w:color w:val="000000" w:themeColor="text1"/>
              <w14:textFill>
                <w14:solidFill>
                  <w14:schemeClr w14:val="tx1"/>
                </w14:solidFill>
              </w14:textFill>
            </w:rPr>
            <w:fldChar w:fldCharType="end"/>
          </w:r>
        </w:p>
        <w:p w14:paraId="6A30B6EC">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_Toc1692 </w:instrText>
          </w:r>
          <w:r>
            <w:rPr>
              <w:rFonts w:eastAsia="宋体"/>
            </w:rPr>
            <w:fldChar w:fldCharType="separate"/>
          </w:r>
          <w:r>
            <w:rPr>
              <w:rFonts w:eastAsia="宋体"/>
              <w:bCs/>
              <w:snapToGrid w:val="0"/>
            </w:rPr>
            <w:t>附图4 大气环境保护目标</w:t>
          </w:r>
          <w:r>
            <w:tab/>
          </w:r>
          <w:r>
            <w:fldChar w:fldCharType="begin"/>
          </w:r>
          <w:r>
            <w:instrText xml:space="preserve"> PAGEREF _Toc1692 \h </w:instrText>
          </w:r>
          <w:r>
            <w:fldChar w:fldCharType="separate"/>
          </w:r>
          <w:r>
            <w:t>45</w:t>
          </w:r>
          <w:r>
            <w:fldChar w:fldCharType="end"/>
          </w:r>
          <w:r>
            <w:rPr>
              <w:rFonts w:eastAsia="宋体"/>
              <w:color w:val="000000" w:themeColor="text1"/>
              <w14:textFill>
                <w14:solidFill>
                  <w14:schemeClr w14:val="tx1"/>
                </w14:solidFill>
              </w14:textFill>
            </w:rPr>
            <w:fldChar w:fldCharType="end"/>
          </w:r>
        </w:p>
        <w:p w14:paraId="6CA7B5B3">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_Toc16721 </w:instrText>
          </w:r>
          <w:r>
            <w:rPr>
              <w:rFonts w:eastAsia="宋体"/>
            </w:rPr>
            <w:fldChar w:fldCharType="separate"/>
          </w:r>
          <w:r>
            <w:rPr>
              <w:rFonts w:eastAsia="宋体"/>
              <w:bCs/>
              <w:snapToGrid w:val="0"/>
            </w:rPr>
            <w:t>附图</w:t>
          </w:r>
          <w:r>
            <w:rPr>
              <w:rFonts w:hint="eastAsia" w:eastAsia="宋体"/>
              <w:bCs/>
              <w:snapToGrid w:val="0"/>
              <w:lang w:val="en-US" w:eastAsia="zh-CN"/>
            </w:rPr>
            <w:t>5</w:t>
          </w:r>
          <w:r>
            <w:rPr>
              <w:rFonts w:eastAsia="宋体"/>
              <w:bCs/>
              <w:snapToGrid w:val="0"/>
            </w:rPr>
            <w:t xml:space="preserve"> </w:t>
          </w:r>
          <w:r>
            <w:rPr>
              <w:rFonts w:hint="eastAsia" w:eastAsia="宋体"/>
              <w:bCs/>
              <w:snapToGrid w:val="0"/>
              <w:lang w:val="en-US" w:eastAsia="zh-CN"/>
            </w:rPr>
            <w:t>风险评价范围</w:t>
          </w:r>
          <w:r>
            <w:tab/>
          </w:r>
          <w:r>
            <w:fldChar w:fldCharType="begin"/>
          </w:r>
          <w:r>
            <w:instrText xml:space="preserve"> PAGEREF _Toc16721 \h </w:instrText>
          </w:r>
          <w:r>
            <w:fldChar w:fldCharType="separate"/>
          </w:r>
          <w:r>
            <w:t>46</w:t>
          </w:r>
          <w:r>
            <w:fldChar w:fldCharType="end"/>
          </w:r>
          <w:r>
            <w:rPr>
              <w:rFonts w:eastAsia="宋体"/>
              <w:color w:val="000000" w:themeColor="text1"/>
              <w14:textFill>
                <w14:solidFill>
                  <w14:schemeClr w14:val="tx1"/>
                </w14:solidFill>
              </w14:textFill>
            </w:rPr>
            <w:fldChar w:fldCharType="end"/>
          </w:r>
        </w:p>
        <w:p w14:paraId="71D8B9B6">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_Toc9416 </w:instrText>
          </w:r>
          <w:r>
            <w:rPr>
              <w:rFonts w:eastAsia="宋体"/>
            </w:rPr>
            <w:fldChar w:fldCharType="separate"/>
          </w:r>
          <w:r>
            <w:rPr>
              <w:rFonts w:ascii="Times New Roman" w:hAnsi="Times New Roman" w:eastAsia="宋体"/>
              <w:bCs/>
              <w:snapToGrid w:val="0"/>
              <w:szCs w:val="24"/>
            </w:rPr>
            <w:t>附件1营业执照</w:t>
          </w:r>
          <w:r>
            <w:tab/>
          </w:r>
          <w:r>
            <w:fldChar w:fldCharType="begin"/>
          </w:r>
          <w:r>
            <w:instrText xml:space="preserve"> PAGEREF _Toc9416 \h </w:instrText>
          </w:r>
          <w:r>
            <w:fldChar w:fldCharType="separate"/>
          </w:r>
          <w:r>
            <w:t>47</w:t>
          </w:r>
          <w:r>
            <w:fldChar w:fldCharType="end"/>
          </w:r>
          <w:r>
            <w:rPr>
              <w:rFonts w:eastAsia="宋体"/>
              <w:color w:val="000000" w:themeColor="text1"/>
              <w14:textFill>
                <w14:solidFill>
                  <w14:schemeClr w14:val="tx1"/>
                </w14:solidFill>
              </w14:textFill>
            </w:rPr>
            <w:fldChar w:fldCharType="end"/>
          </w:r>
        </w:p>
        <w:p w14:paraId="7B59E010">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_Toc1360 </w:instrText>
          </w:r>
          <w:r>
            <w:rPr>
              <w:rFonts w:eastAsia="宋体"/>
            </w:rPr>
            <w:fldChar w:fldCharType="separate"/>
          </w:r>
          <w:r>
            <w:rPr>
              <w:rFonts w:ascii="Times New Roman" w:hAnsi="Times New Roman" w:eastAsia="宋体"/>
              <w:bCs/>
              <w:snapToGrid w:val="0"/>
              <w:szCs w:val="24"/>
            </w:rPr>
            <w:t>附件2土地证明</w:t>
          </w:r>
          <w:r>
            <w:tab/>
          </w:r>
          <w:r>
            <w:fldChar w:fldCharType="begin"/>
          </w:r>
          <w:r>
            <w:instrText xml:space="preserve"> PAGEREF _Toc1360 \h </w:instrText>
          </w:r>
          <w:r>
            <w:fldChar w:fldCharType="separate"/>
          </w:r>
          <w:r>
            <w:t>48</w:t>
          </w:r>
          <w:r>
            <w:fldChar w:fldCharType="end"/>
          </w:r>
          <w:r>
            <w:rPr>
              <w:rFonts w:eastAsia="宋体"/>
              <w:color w:val="000000" w:themeColor="text1"/>
              <w14:textFill>
                <w14:solidFill>
                  <w14:schemeClr w14:val="tx1"/>
                </w14:solidFill>
              </w14:textFill>
            </w:rPr>
            <w:fldChar w:fldCharType="end"/>
          </w:r>
        </w:p>
        <w:p w14:paraId="22FCF57A">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_Toc12763 </w:instrText>
          </w:r>
          <w:r>
            <w:rPr>
              <w:rFonts w:eastAsia="宋体"/>
            </w:rPr>
            <w:fldChar w:fldCharType="separate"/>
          </w:r>
          <w:r>
            <w:rPr>
              <w:rFonts w:eastAsia="宋体"/>
              <w:bCs/>
              <w:snapToGrid w:val="0"/>
            </w:rPr>
            <w:t>附件3检测报告</w:t>
          </w:r>
          <w:r>
            <w:tab/>
          </w:r>
          <w:r>
            <w:fldChar w:fldCharType="begin"/>
          </w:r>
          <w:r>
            <w:instrText xml:space="preserve"> PAGEREF _Toc12763 \h </w:instrText>
          </w:r>
          <w:r>
            <w:fldChar w:fldCharType="separate"/>
          </w:r>
          <w:r>
            <w:t>52</w:t>
          </w:r>
          <w:r>
            <w:fldChar w:fldCharType="end"/>
          </w:r>
          <w:r>
            <w:rPr>
              <w:rFonts w:eastAsia="宋体"/>
              <w:color w:val="000000" w:themeColor="text1"/>
              <w14:textFill>
                <w14:solidFill>
                  <w14:schemeClr w14:val="tx1"/>
                </w14:solidFill>
              </w14:textFill>
            </w:rPr>
            <w:fldChar w:fldCharType="end"/>
          </w:r>
        </w:p>
        <w:p w14:paraId="16E8B8EE">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_Toc13570 </w:instrText>
          </w:r>
          <w:r>
            <w:rPr>
              <w:rFonts w:eastAsia="宋体"/>
            </w:rPr>
            <w:fldChar w:fldCharType="separate"/>
          </w:r>
          <w:r>
            <w:rPr>
              <w:rFonts w:ascii="Times New Roman" w:hAnsi="Times New Roman" w:eastAsia="宋体"/>
              <w:bCs/>
              <w:snapToGrid w:val="0"/>
              <w:szCs w:val="24"/>
            </w:rPr>
            <w:t>附件4 总量计算说明</w:t>
          </w:r>
          <w:r>
            <w:tab/>
          </w:r>
          <w:r>
            <w:fldChar w:fldCharType="begin"/>
          </w:r>
          <w:r>
            <w:instrText xml:space="preserve"> PAGEREF _Toc13570 \h </w:instrText>
          </w:r>
          <w:r>
            <w:fldChar w:fldCharType="separate"/>
          </w:r>
          <w:r>
            <w:t>56</w:t>
          </w:r>
          <w:r>
            <w:fldChar w:fldCharType="end"/>
          </w:r>
          <w:r>
            <w:rPr>
              <w:rFonts w:eastAsia="宋体"/>
              <w:color w:val="000000" w:themeColor="text1"/>
              <w14:textFill>
                <w14:solidFill>
                  <w14:schemeClr w14:val="tx1"/>
                </w14:solidFill>
              </w14:textFill>
            </w:rPr>
            <w:fldChar w:fldCharType="end"/>
          </w:r>
        </w:p>
        <w:p w14:paraId="7A5307EB">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_Toc30631 </w:instrText>
          </w:r>
          <w:r>
            <w:rPr>
              <w:rFonts w:eastAsia="宋体"/>
            </w:rPr>
            <w:fldChar w:fldCharType="separate"/>
          </w:r>
          <w:r>
            <w:rPr>
              <w:rFonts w:ascii="Times New Roman" w:hAnsi="Times New Roman" w:eastAsia="宋体"/>
              <w:bCs/>
              <w:szCs w:val="24"/>
            </w:rPr>
            <w:t>附件5 黑龙江省生态环境分区管控数据应用平台分析报告</w:t>
          </w:r>
          <w:r>
            <w:tab/>
          </w:r>
          <w:r>
            <w:fldChar w:fldCharType="begin"/>
          </w:r>
          <w:r>
            <w:instrText xml:space="preserve"> PAGEREF _Toc30631 \h </w:instrText>
          </w:r>
          <w:r>
            <w:fldChar w:fldCharType="separate"/>
          </w:r>
          <w:r>
            <w:t>57</w:t>
          </w:r>
          <w:r>
            <w:fldChar w:fldCharType="end"/>
          </w:r>
          <w:r>
            <w:rPr>
              <w:rFonts w:eastAsia="宋体"/>
              <w:color w:val="000000" w:themeColor="text1"/>
              <w14:textFill>
                <w14:solidFill>
                  <w14:schemeClr w14:val="tx1"/>
                </w14:solidFill>
              </w14:textFill>
            </w:rPr>
            <w:fldChar w:fldCharType="end"/>
          </w:r>
        </w:p>
        <w:p w14:paraId="5B4F6FBC">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_Toc22551 </w:instrText>
          </w:r>
          <w:r>
            <w:rPr>
              <w:rFonts w:eastAsia="宋体"/>
            </w:rPr>
            <w:fldChar w:fldCharType="separate"/>
          </w:r>
          <w:r>
            <w:rPr>
              <w:rFonts w:eastAsia="宋体"/>
              <w:bCs/>
              <w:kern w:val="0"/>
            </w:rPr>
            <w:t>附件</w:t>
          </w:r>
          <w:r>
            <w:rPr>
              <w:rFonts w:hint="eastAsia" w:eastAsia="宋体"/>
              <w:bCs/>
              <w:kern w:val="0"/>
              <w:lang w:val="en-US" w:eastAsia="zh-CN"/>
            </w:rPr>
            <w:t>6证明</w:t>
          </w:r>
          <w:r>
            <w:tab/>
          </w:r>
          <w:r>
            <w:fldChar w:fldCharType="begin"/>
          </w:r>
          <w:r>
            <w:instrText xml:space="preserve"> PAGEREF _Toc22551 \h </w:instrText>
          </w:r>
          <w:r>
            <w:fldChar w:fldCharType="separate"/>
          </w:r>
          <w:r>
            <w:t>63</w:t>
          </w:r>
          <w:r>
            <w:fldChar w:fldCharType="end"/>
          </w:r>
          <w:r>
            <w:rPr>
              <w:rFonts w:eastAsia="宋体"/>
              <w:color w:val="000000" w:themeColor="text1"/>
              <w14:textFill>
                <w14:solidFill>
                  <w14:schemeClr w14:val="tx1"/>
                </w14:solidFill>
              </w14:textFill>
            </w:rPr>
            <w:fldChar w:fldCharType="end"/>
          </w:r>
        </w:p>
        <w:p w14:paraId="4E81AFD3">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_Toc22430 </w:instrText>
          </w:r>
          <w:r>
            <w:rPr>
              <w:rFonts w:eastAsia="宋体"/>
            </w:rPr>
            <w:fldChar w:fldCharType="separate"/>
          </w:r>
          <w:r>
            <w:rPr>
              <w:rFonts w:eastAsia="宋体"/>
              <w:bCs/>
              <w:kern w:val="0"/>
            </w:rPr>
            <w:t>附件</w:t>
          </w:r>
          <w:r>
            <w:rPr>
              <w:rFonts w:hint="eastAsia" w:eastAsia="宋体"/>
              <w:bCs/>
              <w:kern w:val="0"/>
              <w:lang w:val="en-US" w:eastAsia="zh-CN"/>
            </w:rPr>
            <w:t>7</w:t>
          </w:r>
          <w:r>
            <w:rPr>
              <w:rFonts w:eastAsia="宋体"/>
              <w:bCs/>
              <w:kern w:val="0"/>
            </w:rPr>
            <w:t>环境风险专项评价报告</w:t>
          </w:r>
          <w:r>
            <w:tab/>
          </w:r>
          <w:r>
            <w:fldChar w:fldCharType="begin"/>
          </w:r>
          <w:r>
            <w:instrText xml:space="preserve"> PAGEREF _Toc22430 \h </w:instrText>
          </w:r>
          <w:r>
            <w:fldChar w:fldCharType="separate"/>
          </w:r>
          <w:r>
            <w:t>64</w:t>
          </w:r>
          <w:r>
            <w:fldChar w:fldCharType="end"/>
          </w:r>
          <w:r>
            <w:rPr>
              <w:rFonts w:eastAsia="宋体"/>
              <w:color w:val="000000" w:themeColor="text1"/>
              <w14:textFill>
                <w14:solidFill>
                  <w14:schemeClr w14:val="tx1"/>
                </w14:solidFill>
              </w14:textFill>
            </w:rPr>
            <w:fldChar w:fldCharType="end"/>
          </w:r>
        </w:p>
        <w:p w14:paraId="692375CA">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_Toc26804 </w:instrText>
          </w:r>
          <w:r>
            <w:rPr>
              <w:rFonts w:eastAsia="宋体"/>
            </w:rPr>
            <w:fldChar w:fldCharType="separate"/>
          </w:r>
          <w:r>
            <w:rPr>
              <w:rFonts w:eastAsia="宋体"/>
              <w:bCs/>
              <w:snapToGrid w:val="0"/>
              <w:spacing w:val="-10"/>
              <w:szCs w:val="24"/>
            </w:rPr>
            <w:t>1.总论</w:t>
          </w:r>
          <w:r>
            <w:tab/>
          </w:r>
          <w:r>
            <w:fldChar w:fldCharType="begin"/>
          </w:r>
          <w:r>
            <w:instrText xml:space="preserve"> PAGEREF _Toc26804 \h </w:instrText>
          </w:r>
          <w:r>
            <w:fldChar w:fldCharType="separate"/>
          </w:r>
          <w:r>
            <w:t>65</w:t>
          </w:r>
          <w:r>
            <w:fldChar w:fldCharType="end"/>
          </w:r>
          <w:r>
            <w:rPr>
              <w:rFonts w:eastAsia="宋体"/>
              <w:color w:val="000000" w:themeColor="text1"/>
              <w14:textFill>
                <w14:solidFill>
                  <w14:schemeClr w14:val="tx1"/>
                </w14:solidFill>
              </w14:textFill>
            </w:rPr>
            <w:fldChar w:fldCharType="end"/>
          </w:r>
        </w:p>
        <w:p w14:paraId="3746CE80">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_Toc28640 </w:instrText>
          </w:r>
          <w:r>
            <w:rPr>
              <w:rFonts w:eastAsia="宋体"/>
            </w:rPr>
            <w:fldChar w:fldCharType="separate"/>
          </w:r>
          <w:r>
            <w:rPr>
              <w:rFonts w:eastAsia="宋体"/>
              <w:snapToGrid w:val="0"/>
              <w:spacing w:val="-8"/>
              <w:szCs w:val="24"/>
            </w:rPr>
            <w:t>2.</w:t>
          </w:r>
          <w:r>
            <w:rPr>
              <w:rFonts w:eastAsia="宋体"/>
              <w:snapToGrid w:val="0"/>
              <w:spacing w:val="5"/>
              <w:szCs w:val="24"/>
            </w:rPr>
            <w:t xml:space="preserve"> </w:t>
          </w:r>
          <w:r>
            <w:rPr>
              <w:rFonts w:eastAsia="宋体"/>
              <w:bCs/>
              <w:snapToGrid w:val="0"/>
              <w:spacing w:val="-8"/>
              <w:szCs w:val="24"/>
            </w:rPr>
            <w:t>编制依据</w:t>
          </w:r>
          <w:r>
            <w:tab/>
          </w:r>
          <w:r>
            <w:fldChar w:fldCharType="begin"/>
          </w:r>
          <w:r>
            <w:instrText xml:space="preserve"> PAGEREF _Toc28640 \h </w:instrText>
          </w:r>
          <w:r>
            <w:fldChar w:fldCharType="separate"/>
          </w:r>
          <w:r>
            <w:t>66</w:t>
          </w:r>
          <w:r>
            <w:fldChar w:fldCharType="end"/>
          </w:r>
          <w:r>
            <w:rPr>
              <w:rFonts w:eastAsia="宋体"/>
              <w:color w:val="000000" w:themeColor="text1"/>
              <w14:textFill>
                <w14:solidFill>
                  <w14:schemeClr w14:val="tx1"/>
                </w14:solidFill>
              </w14:textFill>
            </w:rPr>
            <w:fldChar w:fldCharType="end"/>
          </w:r>
        </w:p>
        <w:p w14:paraId="6C1B96DB">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_Toc11971 </w:instrText>
          </w:r>
          <w:r>
            <w:rPr>
              <w:rFonts w:eastAsia="宋体"/>
            </w:rPr>
            <w:fldChar w:fldCharType="separate"/>
          </w:r>
          <w:r>
            <w:rPr>
              <w:rFonts w:eastAsia="宋体"/>
              <w:bCs/>
              <w:snapToGrid w:val="0"/>
              <w:spacing w:val="-2"/>
              <w:szCs w:val="24"/>
            </w:rPr>
            <w:t>3. 环境风险评价目的</w:t>
          </w:r>
          <w:r>
            <w:tab/>
          </w:r>
          <w:r>
            <w:fldChar w:fldCharType="begin"/>
          </w:r>
          <w:r>
            <w:instrText xml:space="preserve"> PAGEREF _Toc11971 \h </w:instrText>
          </w:r>
          <w:r>
            <w:fldChar w:fldCharType="separate"/>
          </w:r>
          <w:r>
            <w:t>67</w:t>
          </w:r>
          <w:r>
            <w:fldChar w:fldCharType="end"/>
          </w:r>
          <w:r>
            <w:rPr>
              <w:rFonts w:eastAsia="宋体"/>
              <w:color w:val="000000" w:themeColor="text1"/>
              <w14:textFill>
                <w14:solidFill>
                  <w14:schemeClr w14:val="tx1"/>
                </w14:solidFill>
              </w14:textFill>
            </w:rPr>
            <w:fldChar w:fldCharType="end"/>
          </w:r>
        </w:p>
        <w:p w14:paraId="55B5EE46">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_Toc10706 </w:instrText>
          </w:r>
          <w:r>
            <w:rPr>
              <w:rFonts w:eastAsia="宋体"/>
            </w:rPr>
            <w:fldChar w:fldCharType="separate"/>
          </w:r>
          <w:r>
            <w:rPr>
              <w:rFonts w:eastAsia="宋体"/>
              <w:bCs/>
              <w:snapToGrid w:val="0"/>
              <w:spacing w:val="-2"/>
              <w:szCs w:val="24"/>
            </w:rPr>
            <w:t>4. 项目概况与工程内容</w:t>
          </w:r>
          <w:r>
            <w:tab/>
          </w:r>
          <w:r>
            <w:fldChar w:fldCharType="begin"/>
          </w:r>
          <w:r>
            <w:instrText xml:space="preserve"> PAGEREF _Toc10706 \h </w:instrText>
          </w:r>
          <w:r>
            <w:fldChar w:fldCharType="separate"/>
          </w:r>
          <w:r>
            <w:t>68</w:t>
          </w:r>
          <w:r>
            <w:fldChar w:fldCharType="end"/>
          </w:r>
          <w:r>
            <w:rPr>
              <w:rFonts w:eastAsia="宋体"/>
              <w:color w:val="000000" w:themeColor="text1"/>
              <w14:textFill>
                <w14:solidFill>
                  <w14:schemeClr w14:val="tx1"/>
                </w14:solidFill>
              </w14:textFill>
            </w:rPr>
            <w:fldChar w:fldCharType="end"/>
          </w:r>
        </w:p>
        <w:p w14:paraId="163ABE8A">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_Toc12977 </w:instrText>
          </w:r>
          <w:r>
            <w:rPr>
              <w:rFonts w:eastAsia="宋体"/>
            </w:rPr>
            <w:fldChar w:fldCharType="separate"/>
          </w:r>
          <w:r>
            <w:rPr>
              <w:rFonts w:eastAsia="宋体"/>
              <w:snapToGrid w:val="0"/>
              <w:spacing w:val="-4"/>
              <w:szCs w:val="24"/>
            </w:rPr>
            <w:t xml:space="preserve">5. </w:t>
          </w:r>
          <w:r>
            <w:rPr>
              <w:rFonts w:eastAsia="宋体"/>
              <w:bCs/>
              <w:snapToGrid w:val="0"/>
              <w:spacing w:val="-4"/>
              <w:szCs w:val="24"/>
            </w:rPr>
            <w:t>风险调查</w:t>
          </w:r>
          <w:r>
            <w:tab/>
          </w:r>
          <w:r>
            <w:fldChar w:fldCharType="begin"/>
          </w:r>
          <w:r>
            <w:instrText xml:space="preserve"> PAGEREF _Toc12977 \h </w:instrText>
          </w:r>
          <w:r>
            <w:fldChar w:fldCharType="separate"/>
          </w:r>
          <w:r>
            <w:t>70</w:t>
          </w:r>
          <w:r>
            <w:fldChar w:fldCharType="end"/>
          </w:r>
          <w:r>
            <w:rPr>
              <w:rFonts w:eastAsia="宋体"/>
              <w:color w:val="000000" w:themeColor="text1"/>
              <w14:textFill>
                <w14:solidFill>
                  <w14:schemeClr w14:val="tx1"/>
                </w14:solidFill>
              </w14:textFill>
            </w:rPr>
            <w:fldChar w:fldCharType="end"/>
          </w:r>
        </w:p>
        <w:p w14:paraId="325501B2">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_Toc1630 </w:instrText>
          </w:r>
          <w:r>
            <w:rPr>
              <w:rFonts w:eastAsia="宋体"/>
            </w:rPr>
            <w:fldChar w:fldCharType="separate"/>
          </w:r>
          <w:r>
            <w:rPr>
              <w:rFonts w:hint="default" w:cs="Times New Roman"/>
              <w:snapToGrid w:val="0"/>
              <w:szCs w:val="24"/>
            </w:rPr>
            <w:t>6.</w:t>
          </w:r>
          <w:r>
            <w:rPr>
              <w:rFonts w:hint="default" w:cs="Times New Roman"/>
              <w:snapToGrid w:val="0"/>
              <w:spacing w:val="-2"/>
              <w:szCs w:val="24"/>
            </w:rPr>
            <w:t>环境风险潜势初判</w:t>
          </w:r>
          <w:r>
            <w:tab/>
          </w:r>
          <w:r>
            <w:fldChar w:fldCharType="begin"/>
          </w:r>
          <w:r>
            <w:instrText xml:space="preserve"> PAGEREF _Toc1630 \h </w:instrText>
          </w:r>
          <w:r>
            <w:fldChar w:fldCharType="separate"/>
          </w:r>
          <w:r>
            <w:t>73</w:t>
          </w:r>
          <w:r>
            <w:fldChar w:fldCharType="end"/>
          </w:r>
          <w:r>
            <w:rPr>
              <w:rFonts w:eastAsia="宋体"/>
              <w:color w:val="000000" w:themeColor="text1"/>
              <w14:textFill>
                <w14:solidFill>
                  <w14:schemeClr w14:val="tx1"/>
                </w14:solidFill>
              </w14:textFill>
            </w:rPr>
            <w:fldChar w:fldCharType="end"/>
          </w:r>
        </w:p>
        <w:p w14:paraId="2AD97358">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_Toc27431 </w:instrText>
          </w:r>
          <w:r>
            <w:rPr>
              <w:rFonts w:eastAsia="宋体"/>
            </w:rPr>
            <w:fldChar w:fldCharType="separate"/>
          </w:r>
          <w:r>
            <w:rPr>
              <w:rFonts w:hint="default" w:cs="Times New Roman"/>
              <w:snapToGrid w:val="0"/>
              <w:spacing w:val="-5"/>
              <w:szCs w:val="24"/>
            </w:rPr>
            <w:t>7.风险识别</w:t>
          </w:r>
          <w:r>
            <w:tab/>
          </w:r>
          <w:r>
            <w:fldChar w:fldCharType="begin"/>
          </w:r>
          <w:r>
            <w:instrText xml:space="preserve"> PAGEREF _Toc27431 \h </w:instrText>
          </w:r>
          <w:r>
            <w:fldChar w:fldCharType="separate"/>
          </w:r>
          <w:r>
            <w:t>78</w:t>
          </w:r>
          <w:r>
            <w:fldChar w:fldCharType="end"/>
          </w:r>
          <w:r>
            <w:rPr>
              <w:rFonts w:eastAsia="宋体"/>
              <w:color w:val="000000" w:themeColor="text1"/>
              <w14:textFill>
                <w14:solidFill>
                  <w14:schemeClr w14:val="tx1"/>
                </w14:solidFill>
              </w14:textFill>
            </w:rPr>
            <w:fldChar w:fldCharType="end"/>
          </w:r>
        </w:p>
        <w:p w14:paraId="69D094C1">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_Toc23887 </w:instrText>
          </w:r>
          <w:r>
            <w:rPr>
              <w:rFonts w:eastAsia="宋体"/>
            </w:rPr>
            <w:fldChar w:fldCharType="separate"/>
          </w:r>
          <w:r>
            <w:rPr>
              <w:rFonts w:hint="default" w:cs="Times New Roman"/>
              <w:snapToGrid w:val="0"/>
              <w:spacing w:val="-3"/>
              <w:szCs w:val="24"/>
            </w:rPr>
            <w:t>8.源项分析</w:t>
          </w:r>
          <w:r>
            <w:tab/>
          </w:r>
          <w:r>
            <w:fldChar w:fldCharType="begin"/>
          </w:r>
          <w:r>
            <w:instrText xml:space="preserve"> PAGEREF _Toc23887 \h </w:instrText>
          </w:r>
          <w:r>
            <w:fldChar w:fldCharType="separate"/>
          </w:r>
          <w:r>
            <w:t>83</w:t>
          </w:r>
          <w:r>
            <w:fldChar w:fldCharType="end"/>
          </w:r>
          <w:r>
            <w:rPr>
              <w:rFonts w:eastAsia="宋体"/>
              <w:color w:val="000000" w:themeColor="text1"/>
              <w14:textFill>
                <w14:solidFill>
                  <w14:schemeClr w14:val="tx1"/>
                </w14:solidFill>
              </w14:textFill>
            </w:rPr>
            <w:fldChar w:fldCharType="end"/>
          </w:r>
        </w:p>
        <w:p w14:paraId="21BECE1B">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_Toc9600 </w:instrText>
          </w:r>
          <w:r>
            <w:rPr>
              <w:rFonts w:eastAsia="宋体"/>
            </w:rPr>
            <w:fldChar w:fldCharType="separate"/>
          </w:r>
          <w:r>
            <w:rPr>
              <w:rFonts w:hint="default" w:cs="Times New Roman"/>
              <w:lang w:eastAsia="en-US"/>
            </w:rPr>
            <w:t>9.风险预测与评价</w:t>
          </w:r>
          <w:r>
            <w:tab/>
          </w:r>
          <w:r>
            <w:fldChar w:fldCharType="begin"/>
          </w:r>
          <w:r>
            <w:instrText xml:space="preserve"> PAGEREF _Toc9600 \h </w:instrText>
          </w:r>
          <w:r>
            <w:fldChar w:fldCharType="separate"/>
          </w:r>
          <w:r>
            <w:t>84</w:t>
          </w:r>
          <w:r>
            <w:fldChar w:fldCharType="end"/>
          </w:r>
          <w:r>
            <w:rPr>
              <w:rFonts w:eastAsia="宋体"/>
              <w:color w:val="000000" w:themeColor="text1"/>
              <w14:textFill>
                <w14:solidFill>
                  <w14:schemeClr w14:val="tx1"/>
                </w14:solidFill>
              </w14:textFill>
            </w:rPr>
            <w:fldChar w:fldCharType="end"/>
          </w:r>
        </w:p>
        <w:p w14:paraId="141B2A78">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_Toc12385 </w:instrText>
          </w:r>
          <w:r>
            <w:rPr>
              <w:rFonts w:eastAsia="宋体"/>
            </w:rPr>
            <w:fldChar w:fldCharType="separate"/>
          </w:r>
          <w:r>
            <w:rPr>
              <w:rFonts w:hint="default" w:cs="Times New Roman"/>
              <w:snapToGrid w:val="0"/>
              <w:spacing w:val="-3"/>
              <w:szCs w:val="24"/>
            </w:rPr>
            <w:t>10.环境风险管理</w:t>
          </w:r>
          <w:r>
            <w:tab/>
          </w:r>
          <w:r>
            <w:fldChar w:fldCharType="begin"/>
          </w:r>
          <w:r>
            <w:instrText xml:space="preserve"> PAGEREF _Toc12385 \h </w:instrText>
          </w:r>
          <w:r>
            <w:fldChar w:fldCharType="separate"/>
          </w:r>
          <w:r>
            <w:t>90</w:t>
          </w:r>
          <w:r>
            <w:fldChar w:fldCharType="end"/>
          </w:r>
          <w:r>
            <w:rPr>
              <w:rFonts w:eastAsia="宋体"/>
              <w:color w:val="000000" w:themeColor="text1"/>
              <w14:textFill>
                <w14:solidFill>
                  <w14:schemeClr w14:val="tx1"/>
                </w14:solidFill>
              </w14:textFill>
            </w:rPr>
            <w:fldChar w:fldCharType="end"/>
          </w:r>
        </w:p>
        <w:p w14:paraId="202D9B25">
          <w:pPr>
            <w:pStyle w:val="23"/>
            <w:tabs>
              <w:tab w:val="right" w:leader="dot" w:pos="8306"/>
            </w:tabs>
          </w:pPr>
          <w:r>
            <w:rPr>
              <w:rFonts w:eastAsia="宋体"/>
              <w:color w:val="000000" w:themeColor="text1"/>
              <w14:textFill>
                <w14:solidFill>
                  <w14:schemeClr w14:val="tx1"/>
                </w14:solidFill>
              </w14:textFill>
            </w:rPr>
            <w:fldChar w:fldCharType="begin"/>
          </w:r>
          <w:r>
            <w:rPr>
              <w:rFonts w:eastAsia="宋体"/>
            </w:rPr>
            <w:instrText xml:space="preserve"> HYPERLINK \l _Toc26383 </w:instrText>
          </w:r>
          <w:r>
            <w:rPr>
              <w:rFonts w:eastAsia="宋体"/>
            </w:rPr>
            <w:fldChar w:fldCharType="separate"/>
          </w:r>
          <w:r>
            <w:rPr>
              <w:rFonts w:hint="default" w:cs="Times New Roman"/>
              <w:snapToGrid w:val="0"/>
              <w:spacing w:val="-4"/>
              <w:szCs w:val="24"/>
            </w:rPr>
            <w:t>11.评价结论与建议</w:t>
          </w:r>
          <w:r>
            <w:tab/>
          </w:r>
          <w:r>
            <w:fldChar w:fldCharType="begin"/>
          </w:r>
          <w:r>
            <w:instrText xml:space="preserve"> PAGEREF _Toc26383 \h </w:instrText>
          </w:r>
          <w:r>
            <w:fldChar w:fldCharType="separate"/>
          </w:r>
          <w:r>
            <w:t>96</w:t>
          </w:r>
          <w:r>
            <w:fldChar w:fldCharType="end"/>
          </w:r>
          <w:r>
            <w:rPr>
              <w:rFonts w:eastAsia="宋体"/>
              <w:color w:val="000000" w:themeColor="text1"/>
              <w14:textFill>
                <w14:solidFill>
                  <w14:schemeClr w14:val="tx1"/>
                </w14:solidFill>
              </w14:textFill>
            </w:rPr>
            <w:fldChar w:fldCharType="end"/>
          </w:r>
        </w:p>
        <w:p w14:paraId="5C0C766D">
          <w:pPr>
            <w:spacing w:line="360" w:lineRule="auto"/>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fldChar w:fldCharType="end"/>
          </w:r>
        </w:p>
      </w:sdtContent>
    </w:sdt>
    <w:p w14:paraId="7C18B3F0">
      <w:pPr>
        <w:tabs>
          <w:tab w:val="left" w:pos="6048"/>
        </w:tabs>
        <w:spacing w:line="360" w:lineRule="auto"/>
        <w:rPr>
          <w:rFonts w:eastAsia="宋体"/>
          <w:snapToGrid w:val="0"/>
          <w:color w:val="000000" w:themeColor="text1"/>
          <w:sz w:val="32"/>
          <w:szCs w:val="32"/>
          <w14:textFill>
            <w14:solidFill>
              <w14:schemeClr w14:val="tx1"/>
            </w14:solidFill>
          </w14:textFill>
        </w:rPr>
        <w:sectPr>
          <w:footerReference r:id="rId5" w:type="default"/>
          <w:pgSz w:w="11906" w:h="16838"/>
          <w:pgMar w:top="1440" w:right="1800" w:bottom="1440" w:left="1800" w:header="851" w:footer="992" w:gutter="0"/>
          <w:pgNumType w:start="1"/>
          <w:cols w:space="720" w:num="1"/>
          <w:docGrid w:linePitch="312" w:charSpace="0"/>
        </w:sectPr>
      </w:pPr>
    </w:p>
    <w:p w14:paraId="016D9AEC">
      <w:pPr>
        <w:tabs>
          <w:tab w:val="left" w:pos="6048"/>
        </w:tabs>
        <w:jc w:val="center"/>
        <w:outlineLvl w:val="0"/>
        <w:rPr>
          <w:rFonts w:eastAsia="宋体"/>
          <w:b/>
          <w:bCs/>
          <w:snapToGrid w:val="0"/>
          <w:color w:val="000000" w:themeColor="text1"/>
          <w:sz w:val="30"/>
          <w:szCs w:val="30"/>
          <w14:textFill>
            <w14:solidFill>
              <w14:schemeClr w14:val="tx1"/>
            </w14:solidFill>
          </w14:textFill>
        </w:rPr>
      </w:pPr>
      <w:bookmarkStart w:id="3" w:name="_Toc3760"/>
      <w:r>
        <w:rPr>
          <w:rFonts w:eastAsia="宋体"/>
          <w:b/>
          <w:bCs/>
          <w:snapToGrid w:val="0"/>
          <w:color w:val="000000" w:themeColor="text1"/>
          <w:sz w:val="30"/>
          <w:szCs w:val="30"/>
          <w14:textFill>
            <w14:solidFill>
              <w14:schemeClr w14:val="tx1"/>
            </w14:solidFill>
          </w14:textFill>
        </w:rPr>
        <w:t>一、建设项目基本情况</w:t>
      </w:r>
      <w:bookmarkEnd w:id="3"/>
    </w:p>
    <w:tbl>
      <w:tblPr>
        <w:tblStyle w:val="33"/>
        <w:tblW w:w="8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1"/>
        <w:gridCol w:w="1191"/>
        <w:gridCol w:w="2154"/>
        <w:gridCol w:w="1647"/>
        <w:gridCol w:w="2639"/>
      </w:tblGrid>
      <w:tr w14:paraId="3FC4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92" w:type="dxa"/>
            <w:gridSpan w:val="2"/>
            <w:tcMar>
              <w:top w:w="16" w:type="dxa"/>
              <w:left w:w="16" w:type="dxa"/>
              <w:right w:w="16" w:type="dxa"/>
            </w:tcMar>
            <w:vAlign w:val="center"/>
          </w:tcPr>
          <w:p w14:paraId="72396812">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建设项目</w:t>
            </w:r>
          </w:p>
          <w:p w14:paraId="642D884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名称</w:t>
            </w:r>
          </w:p>
        </w:tc>
        <w:tc>
          <w:tcPr>
            <w:tcW w:w="6438" w:type="dxa"/>
            <w:gridSpan w:val="3"/>
            <w:vAlign w:val="center"/>
          </w:tcPr>
          <w:p w14:paraId="71F32B91">
            <w:pPr>
              <w:jc w:val="center"/>
              <w:rPr>
                <w:rFonts w:hint="eastAsia" w:eastAsia="宋体"/>
                <w:color w:val="000000" w:themeColor="text1"/>
                <w:sz w:val="24"/>
                <w:lang w:eastAsia="zh-CN"/>
                <w14:textFill>
                  <w14:solidFill>
                    <w14:schemeClr w14:val="tx1"/>
                  </w14:solidFill>
                </w14:textFill>
              </w:rPr>
            </w:pPr>
            <w:r>
              <w:rPr>
                <w:rFonts w:hint="eastAsia" w:eastAsia="宋体"/>
                <w:color w:val="000000" w:themeColor="text1"/>
                <w:sz w:val="24"/>
                <w:lang w:eastAsia="zh-CN"/>
                <w14:textFill>
                  <w14:solidFill>
                    <w14:schemeClr w14:val="tx1"/>
                  </w14:solidFill>
                </w14:textFill>
              </w:rPr>
              <w:t>黑龙江省沃科丰农业科技有限公司新建项目</w:t>
            </w:r>
          </w:p>
        </w:tc>
      </w:tr>
      <w:tr w14:paraId="4857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atLeast"/>
          <w:jc w:val="center"/>
        </w:trPr>
        <w:tc>
          <w:tcPr>
            <w:tcW w:w="1892" w:type="dxa"/>
            <w:gridSpan w:val="2"/>
            <w:tcMar>
              <w:top w:w="16" w:type="dxa"/>
              <w:left w:w="16" w:type="dxa"/>
              <w:right w:w="16" w:type="dxa"/>
            </w:tcMar>
            <w:vAlign w:val="center"/>
          </w:tcPr>
          <w:p w14:paraId="363CCEF2">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项目代码</w:t>
            </w:r>
          </w:p>
        </w:tc>
        <w:tc>
          <w:tcPr>
            <w:tcW w:w="6438" w:type="dxa"/>
            <w:gridSpan w:val="3"/>
            <w:vAlign w:val="center"/>
          </w:tcPr>
          <w:p w14:paraId="0EBBA5C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r w14:paraId="672E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92" w:type="dxa"/>
            <w:gridSpan w:val="2"/>
            <w:tcMar>
              <w:top w:w="16" w:type="dxa"/>
              <w:left w:w="16" w:type="dxa"/>
              <w:right w:w="16" w:type="dxa"/>
            </w:tcMar>
            <w:vAlign w:val="center"/>
          </w:tcPr>
          <w:p w14:paraId="7F10B92A">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建设单位</w:t>
            </w:r>
          </w:p>
          <w:p w14:paraId="117E77E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联系人</w:t>
            </w:r>
          </w:p>
        </w:tc>
        <w:tc>
          <w:tcPr>
            <w:tcW w:w="2154" w:type="dxa"/>
            <w:vAlign w:val="center"/>
          </w:tcPr>
          <w:p w14:paraId="14E90D5A">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王春雷</w:t>
            </w:r>
          </w:p>
        </w:tc>
        <w:tc>
          <w:tcPr>
            <w:tcW w:w="1647" w:type="dxa"/>
            <w:vAlign w:val="center"/>
          </w:tcPr>
          <w:p w14:paraId="0A794EBE">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联系方式</w:t>
            </w:r>
          </w:p>
        </w:tc>
        <w:tc>
          <w:tcPr>
            <w:tcW w:w="2637" w:type="dxa"/>
            <w:vAlign w:val="center"/>
          </w:tcPr>
          <w:p w14:paraId="30A8C51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18204695462</w:t>
            </w:r>
          </w:p>
        </w:tc>
      </w:tr>
      <w:tr w14:paraId="4722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92" w:type="dxa"/>
            <w:gridSpan w:val="2"/>
            <w:tcMar>
              <w:top w:w="16" w:type="dxa"/>
              <w:left w:w="16" w:type="dxa"/>
              <w:right w:w="16" w:type="dxa"/>
            </w:tcMar>
            <w:vAlign w:val="center"/>
          </w:tcPr>
          <w:p w14:paraId="4ECCDDE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建设地点</w:t>
            </w:r>
          </w:p>
        </w:tc>
        <w:tc>
          <w:tcPr>
            <w:tcW w:w="6438" w:type="dxa"/>
            <w:gridSpan w:val="3"/>
            <w:vAlign w:val="center"/>
          </w:tcPr>
          <w:p w14:paraId="512AE1E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黑龙江省双鸭山市四方台区河东街道</w:t>
            </w:r>
          </w:p>
        </w:tc>
      </w:tr>
      <w:tr w14:paraId="0509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92" w:type="dxa"/>
            <w:gridSpan w:val="2"/>
            <w:tcMar>
              <w:top w:w="16" w:type="dxa"/>
              <w:left w:w="16" w:type="dxa"/>
              <w:right w:w="16" w:type="dxa"/>
            </w:tcMar>
            <w:vAlign w:val="center"/>
          </w:tcPr>
          <w:p w14:paraId="03E967E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地理坐标</w:t>
            </w:r>
          </w:p>
        </w:tc>
        <w:tc>
          <w:tcPr>
            <w:tcW w:w="6438" w:type="dxa"/>
            <w:gridSpan w:val="3"/>
            <w:vAlign w:val="center"/>
          </w:tcPr>
          <w:p w14:paraId="7A41983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r>
              <w:rPr>
                <w:rFonts w:eastAsia="宋体"/>
                <w:color w:val="000000" w:themeColor="text1"/>
                <w:sz w:val="24"/>
                <w:u w:val="single"/>
                <w14:textFill>
                  <w14:solidFill>
                    <w14:schemeClr w14:val="tx1"/>
                  </w14:solidFill>
                </w14:textFill>
              </w:rPr>
              <w:t>131度10分43.228秒</w:t>
            </w:r>
            <w:r>
              <w:rPr>
                <w:rFonts w:eastAsia="宋体"/>
                <w:color w:val="000000" w:themeColor="text1"/>
                <w:sz w:val="24"/>
                <w14:textFill>
                  <w14:solidFill>
                    <w14:schemeClr w14:val="tx1"/>
                  </w14:solidFill>
                </w14:textFill>
              </w:rPr>
              <w:t>，</w:t>
            </w:r>
            <w:r>
              <w:rPr>
                <w:rFonts w:eastAsia="宋体"/>
                <w:color w:val="000000" w:themeColor="text1"/>
                <w:sz w:val="24"/>
                <w:u w:val="single"/>
                <w14:textFill>
                  <w14:solidFill>
                    <w14:schemeClr w14:val="tx1"/>
                  </w14:solidFill>
                </w14:textFill>
              </w:rPr>
              <w:t>46度43分11.151秒</w:t>
            </w:r>
            <w:r>
              <w:rPr>
                <w:rFonts w:eastAsia="宋体"/>
                <w:color w:val="000000" w:themeColor="text1"/>
                <w:sz w:val="24"/>
                <w14:textFill>
                  <w14:solidFill>
                    <w14:schemeClr w14:val="tx1"/>
                  </w14:solidFill>
                </w14:textFill>
              </w:rPr>
              <w:t>）</w:t>
            </w:r>
          </w:p>
        </w:tc>
      </w:tr>
      <w:tr w14:paraId="5F0D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4" w:hRule="atLeast"/>
          <w:jc w:val="center"/>
        </w:trPr>
        <w:tc>
          <w:tcPr>
            <w:tcW w:w="1892" w:type="dxa"/>
            <w:gridSpan w:val="2"/>
            <w:tcMar>
              <w:top w:w="16" w:type="dxa"/>
              <w:left w:w="16" w:type="dxa"/>
              <w:right w:w="16" w:type="dxa"/>
            </w:tcMar>
            <w:vAlign w:val="center"/>
          </w:tcPr>
          <w:p w14:paraId="4C319CD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国民经济</w:t>
            </w:r>
          </w:p>
          <w:p w14:paraId="58E364B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行业类别</w:t>
            </w:r>
          </w:p>
        </w:tc>
        <w:tc>
          <w:tcPr>
            <w:tcW w:w="2154" w:type="dxa"/>
            <w:vAlign w:val="center"/>
          </w:tcPr>
          <w:p w14:paraId="28A16638">
            <w:pPr>
              <w:jc w:val="center"/>
              <w:rPr>
                <w:rFonts w:eastAsia="宋体"/>
                <w:color w:val="000000" w:themeColor="text1"/>
                <w:sz w:val="24"/>
                <w14:textFill>
                  <w14:solidFill>
                    <w14:schemeClr w14:val="tx1"/>
                  </w14:solidFill>
                </w14:textFill>
              </w:rPr>
            </w:pPr>
            <w:r>
              <w:rPr>
                <w:rFonts w:eastAsia="宋体"/>
                <w:color w:val="000000" w:themeColor="text1"/>
                <w:sz w:val="24"/>
                <w:szCs w:val="21"/>
                <w14:textFill>
                  <w14:solidFill>
                    <w14:schemeClr w14:val="tx1"/>
                  </w14:solidFill>
                </w14:textFill>
              </w:rPr>
              <w:t>C262</w:t>
            </w:r>
            <w:bookmarkStart w:id="4" w:name="OLE_LINK4"/>
            <w:bookmarkStart w:id="5" w:name="OLE_LINK1"/>
            <w:r>
              <w:rPr>
                <w:rFonts w:hint="eastAsia" w:eastAsia="宋体"/>
                <w:color w:val="000000" w:themeColor="text1"/>
                <w:sz w:val="24"/>
                <w:szCs w:val="21"/>
                <w:lang w:val="en-US" w:eastAsia="zh-CN"/>
                <w14:textFill>
                  <w14:solidFill>
                    <w14:schemeClr w14:val="tx1"/>
                  </w14:solidFill>
                </w14:textFill>
              </w:rPr>
              <w:t>1氮肥</w:t>
            </w:r>
            <w:r>
              <w:rPr>
                <w:rFonts w:eastAsia="宋体"/>
                <w:color w:val="000000" w:themeColor="text1"/>
                <w:sz w:val="24"/>
                <w:szCs w:val="21"/>
                <w14:textFill>
                  <w14:solidFill>
                    <w14:schemeClr w14:val="tx1"/>
                  </w14:solidFill>
                </w14:textFill>
              </w:rPr>
              <w:t>制造</w:t>
            </w:r>
            <w:bookmarkEnd w:id="4"/>
            <w:bookmarkEnd w:id="5"/>
          </w:p>
        </w:tc>
        <w:tc>
          <w:tcPr>
            <w:tcW w:w="1647" w:type="dxa"/>
            <w:vAlign w:val="center"/>
          </w:tcPr>
          <w:p w14:paraId="5987C582">
            <w:pPr>
              <w:jc w:val="center"/>
              <w:rPr>
                <w:rFonts w:eastAsia="宋体"/>
                <w:color w:val="000000" w:themeColor="text1"/>
                <w:sz w:val="24"/>
                <w14:textFill>
                  <w14:solidFill>
                    <w14:schemeClr w14:val="tx1"/>
                  </w14:solidFill>
                </w14:textFill>
              </w:rPr>
            </w:pPr>
            <w:bookmarkStart w:id="6" w:name="_Hlk49843745"/>
            <w:r>
              <w:rPr>
                <w:rFonts w:eastAsia="宋体"/>
                <w:color w:val="000000" w:themeColor="text1"/>
                <w:sz w:val="24"/>
                <w14:textFill>
                  <w14:solidFill>
                    <w14:schemeClr w14:val="tx1"/>
                  </w14:solidFill>
                </w14:textFill>
              </w:rPr>
              <w:t>建设项目</w:t>
            </w:r>
          </w:p>
          <w:p w14:paraId="46E8D4E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行业类别</w:t>
            </w:r>
            <w:bookmarkEnd w:id="6"/>
          </w:p>
        </w:tc>
        <w:tc>
          <w:tcPr>
            <w:tcW w:w="2637" w:type="dxa"/>
            <w:vAlign w:val="center"/>
          </w:tcPr>
          <w:p w14:paraId="2182306A">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二十三、化学原料和化学制品制造业 26 ，45.肥料制造 262</w:t>
            </w:r>
          </w:p>
        </w:tc>
      </w:tr>
      <w:tr w14:paraId="2DC6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8" w:hRule="atLeast"/>
          <w:jc w:val="center"/>
        </w:trPr>
        <w:tc>
          <w:tcPr>
            <w:tcW w:w="1892" w:type="dxa"/>
            <w:gridSpan w:val="2"/>
            <w:tcMar>
              <w:top w:w="16" w:type="dxa"/>
              <w:left w:w="16" w:type="dxa"/>
              <w:right w:w="16" w:type="dxa"/>
            </w:tcMar>
            <w:vAlign w:val="center"/>
          </w:tcPr>
          <w:p w14:paraId="5F38A8D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建设性质</w:t>
            </w:r>
          </w:p>
        </w:tc>
        <w:tc>
          <w:tcPr>
            <w:tcW w:w="2154" w:type="dxa"/>
            <w:vAlign w:val="center"/>
          </w:tcPr>
          <w:p w14:paraId="4F44D36B">
            <w:pPr>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52"/>
            </w:r>
            <w:r>
              <w:rPr>
                <w:rFonts w:eastAsia="宋体"/>
                <w:color w:val="000000" w:themeColor="text1"/>
                <w:sz w:val="24"/>
                <w14:textFill>
                  <w14:solidFill>
                    <w14:schemeClr w14:val="tx1"/>
                  </w14:solidFill>
                </w14:textFill>
              </w:rPr>
              <w:t>新建（迁建）</w:t>
            </w:r>
          </w:p>
          <w:p w14:paraId="273348C6">
            <w:pPr>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A3"/>
            </w:r>
            <w:r>
              <w:rPr>
                <w:rFonts w:eastAsia="宋体"/>
                <w:color w:val="000000" w:themeColor="text1"/>
                <w:sz w:val="24"/>
                <w14:textFill>
                  <w14:solidFill>
                    <w14:schemeClr w14:val="tx1"/>
                  </w14:solidFill>
                </w14:textFill>
              </w:rPr>
              <w:t>改建</w:t>
            </w:r>
          </w:p>
          <w:p w14:paraId="0945D06B">
            <w:pPr>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A3"/>
            </w:r>
            <w:r>
              <w:rPr>
                <w:rFonts w:eastAsia="宋体"/>
                <w:color w:val="000000" w:themeColor="text1"/>
                <w:sz w:val="24"/>
                <w14:textFill>
                  <w14:solidFill>
                    <w14:schemeClr w14:val="tx1"/>
                  </w14:solidFill>
                </w14:textFill>
              </w:rPr>
              <w:t>扩建</w:t>
            </w:r>
          </w:p>
          <w:p w14:paraId="7FCCA8F0">
            <w:pPr>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A3"/>
            </w:r>
            <w:r>
              <w:rPr>
                <w:rFonts w:eastAsia="宋体"/>
                <w:color w:val="000000" w:themeColor="text1"/>
                <w:sz w:val="24"/>
                <w14:textFill>
                  <w14:solidFill>
                    <w14:schemeClr w14:val="tx1"/>
                  </w14:solidFill>
                </w14:textFill>
              </w:rPr>
              <w:t>技术改造</w:t>
            </w:r>
          </w:p>
        </w:tc>
        <w:tc>
          <w:tcPr>
            <w:tcW w:w="1647" w:type="dxa"/>
            <w:vAlign w:val="center"/>
          </w:tcPr>
          <w:p w14:paraId="5CD0066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建设项目</w:t>
            </w:r>
          </w:p>
          <w:p w14:paraId="13459152">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申报情形</w:t>
            </w:r>
          </w:p>
        </w:tc>
        <w:tc>
          <w:tcPr>
            <w:tcW w:w="2637" w:type="dxa"/>
            <w:vAlign w:val="center"/>
          </w:tcPr>
          <w:p w14:paraId="4460BED6">
            <w:pPr>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52"/>
            </w:r>
            <w:r>
              <w:rPr>
                <w:rFonts w:eastAsia="宋体"/>
                <w:color w:val="000000" w:themeColor="text1"/>
                <w:sz w:val="24"/>
                <w14:textFill>
                  <w14:solidFill>
                    <w14:schemeClr w14:val="tx1"/>
                  </w14:solidFill>
                </w14:textFill>
              </w:rPr>
              <w:t>首次申报项目</w:t>
            </w:r>
          </w:p>
          <w:p w14:paraId="2DBF0952">
            <w:pPr>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A3"/>
            </w:r>
            <w:r>
              <w:rPr>
                <w:rFonts w:eastAsia="宋体"/>
                <w:color w:val="000000" w:themeColor="text1"/>
                <w:sz w:val="24"/>
                <w14:textFill>
                  <w14:solidFill>
                    <w14:schemeClr w14:val="tx1"/>
                  </w14:solidFill>
                </w14:textFill>
              </w:rPr>
              <w:t>不予批准后再次申报项目</w:t>
            </w:r>
          </w:p>
          <w:p w14:paraId="699C4463">
            <w:pPr>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A3"/>
            </w:r>
            <w:r>
              <w:rPr>
                <w:rFonts w:eastAsia="宋体"/>
                <w:color w:val="000000" w:themeColor="text1"/>
                <w:sz w:val="24"/>
                <w14:textFill>
                  <w14:solidFill>
                    <w14:schemeClr w14:val="tx1"/>
                  </w14:solidFill>
                </w14:textFill>
              </w:rPr>
              <w:t>超五年重新审核项目</w:t>
            </w:r>
          </w:p>
          <w:p w14:paraId="584A1450">
            <w:pPr>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A3"/>
            </w:r>
            <w:r>
              <w:rPr>
                <w:rFonts w:eastAsia="宋体"/>
                <w:color w:val="000000" w:themeColor="text1"/>
                <w:sz w:val="24"/>
                <w14:textFill>
                  <w14:solidFill>
                    <w14:schemeClr w14:val="tx1"/>
                  </w14:solidFill>
                </w14:textFill>
              </w:rPr>
              <w:t>重大变动重新报批项目</w:t>
            </w:r>
          </w:p>
        </w:tc>
      </w:tr>
      <w:tr w14:paraId="7DBD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atLeast"/>
          <w:jc w:val="center"/>
        </w:trPr>
        <w:tc>
          <w:tcPr>
            <w:tcW w:w="1892" w:type="dxa"/>
            <w:gridSpan w:val="2"/>
            <w:tcMar>
              <w:top w:w="16" w:type="dxa"/>
              <w:left w:w="16" w:type="dxa"/>
              <w:right w:w="16" w:type="dxa"/>
            </w:tcMar>
            <w:vAlign w:val="center"/>
          </w:tcPr>
          <w:p w14:paraId="1CAB5B7A">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项目审批</w:t>
            </w:r>
          </w:p>
          <w:p w14:paraId="38F62D0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（核准/备案）部门（选填）</w:t>
            </w:r>
          </w:p>
        </w:tc>
        <w:tc>
          <w:tcPr>
            <w:tcW w:w="2154" w:type="dxa"/>
            <w:vAlign w:val="center"/>
          </w:tcPr>
          <w:p w14:paraId="78EC70A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无</w:t>
            </w:r>
          </w:p>
        </w:tc>
        <w:tc>
          <w:tcPr>
            <w:tcW w:w="1647" w:type="dxa"/>
            <w:vAlign w:val="center"/>
          </w:tcPr>
          <w:p w14:paraId="1323BCB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项目审批</w:t>
            </w:r>
          </w:p>
          <w:p w14:paraId="0A4356A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（核准/备案）</w:t>
            </w:r>
          </w:p>
          <w:p w14:paraId="56C8687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文号（选填）</w:t>
            </w:r>
          </w:p>
        </w:tc>
        <w:tc>
          <w:tcPr>
            <w:tcW w:w="2637" w:type="dxa"/>
            <w:vAlign w:val="center"/>
          </w:tcPr>
          <w:p w14:paraId="058A0B5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无</w:t>
            </w:r>
          </w:p>
        </w:tc>
      </w:tr>
      <w:tr w14:paraId="65C3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4" w:hRule="atLeast"/>
          <w:jc w:val="center"/>
        </w:trPr>
        <w:tc>
          <w:tcPr>
            <w:tcW w:w="1892" w:type="dxa"/>
            <w:gridSpan w:val="2"/>
            <w:tcMar>
              <w:top w:w="16" w:type="dxa"/>
              <w:left w:w="16" w:type="dxa"/>
              <w:right w:w="16" w:type="dxa"/>
            </w:tcMar>
            <w:vAlign w:val="center"/>
          </w:tcPr>
          <w:p w14:paraId="2761FF3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总投资</w:t>
            </w:r>
          </w:p>
          <w:p w14:paraId="41CF796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（万元）</w:t>
            </w:r>
          </w:p>
        </w:tc>
        <w:tc>
          <w:tcPr>
            <w:tcW w:w="2154" w:type="dxa"/>
            <w:vAlign w:val="center"/>
          </w:tcPr>
          <w:p w14:paraId="2B2EBE3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200</w:t>
            </w:r>
          </w:p>
        </w:tc>
        <w:tc>
          <w:tcPr>
            <w:tcW w:w="1647" w:type="dxa"/>
            <w:tcMar>
              <w:top w:w="16" w:type="dxa"/>
              <w:left w:w="16" w:type="dxa"/>
              <w:right w:w="16" w:type="dxa"/>
            </w:tcMar>
            <w:vAlign w:val="center"/>
          </w:tcPr>
          <w:p w14:paraId="04F4A519">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环保投资</w:t>
            </w:r>
          </w:p>
          <w:p w14:paraId="6882506A">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（万元）</w:t>
            </w:r>
          </w:p>
        </w:tc>
        <w:tc>
          <w:tcPr>
            <w:tcW w:w="2637" w:type="dxa"/>
            <w:shd w:val="clear" w:color="auto" w:fill="auto"/>
            <w:vAlign w:val="center"/>
          </w:tcPr>
          <w:p w14:paraId="789ACDAF">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15</w:t>
            </w:r>
          </w:p>
        </w:tc>
      </w:tr>
      <w:tr w14:paraId="07BF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7" w:hRule="atLeast"/>
          <w:jc w:val="center"/>
        </w:trPr>
        <w:tc>
          <w:tcPr>
            <w:tcW w:w="1892" w:type="dxa"/>
            <w:gridSpan w:val="2"/>
            <w:tcMar>
              <w:top w:w="16" w:type="dxa"/>
              <w:left w:w="16" w:type="dxa"/>
              <w:right w:w="16" w:type="dxa"/>
            </w:tcMar>
            <w:vAlign w:val="center"/>
          </w:tcPr>
          <w:p w14:paraId="1B7FFD51">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环保投资占比（%）</w:t>
            </w:r>
          </w:p>
        </w:tc>
        <w:tc>
          <w:tcPr>
            <w:tcW w:w="2154" w:type="dxa"/>
            <w:vAlign w:val="center"/>
          </w:tcPr>
          <w:p w14:paraId="46E05BE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7.5</w:t>
            </w:r>
          </w:p>
        </w:tc>
        <w:tc>
          <w:tcPr>
            <w:tcW w:w="1647" w:type="dxa"/>
            <w:tcMar>
              <w:top w:w="16" w:type="dxa"/>
              <w:left w:w="16" w:type="dxa"/>
              <w:right w:w="16" w:type="dxa"/>
            </w:tcMar>
            <w:vAlign w:val="center"/>
          </w:tcPr>
          <w:p w14:paraId="35BB695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施工工期</w:t>
            </w:r>
          </w:p>
        </w:tc>
        <w:tc>
          <w:tcPr>
            <w:tcW w:w="2637" w:type="dxa"/>
            <w:vAlign w:val="center"/>
          </w:tcPr>
          <w:p w14:paraId="5F5C559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2026年10月-2026年11月</w:t>
            </w:r>
          </w:p>
        </w:tc>
      </w:tr>
      <w:tr w14:paraId="19FF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8" w:hRule="atLeast"/>
          <w:jc w:val="center"/>
        </w:trPr>
        <w:tc>
          <w:tcPr>
            <w:tcW w:w="1892" w:type="dxa"/>
            <w:gridSpan w:val="2"/>
            <w:tcMar>
              <w:top w:w="16" w:type="dxa"/>
              <w:left w:w="16" w:type="dxa"/>
              <w:right w:w="16" w:type="dxa"/>
            </w:tcMar>
            <w:vAlign w:val="center"/>
          </w:tcPr>
          <w:p w14:paraId="441B60CE">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是否开工建设</w:t>
            </w:r>
          </w:p>
        </w:tc>
        <w:tc>
          <w:tcPr>
            <w:tcW w:w="2154" w:type="dxa"/>
            <w:vAlign w:val="center"/>
          </w:tcPr>
          <w:p w14:paraId="28E8CE5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52"/>
            </w:r>
            <w:r>
              <w:rPr>
                <w:rFonts w:eastAsia="宋体"/>
                <w:color w:val="000000" w:themeColor="text1"/>
                <w:sz w:val="24"/>
                <w14:textFill>
                  <w14:solidFill>
                    <w14:schemeClr w14:val="tx1"/>
                  </w14:solidFill>
                </w14:textFill>
              </w:rPr>
              <w:t>否</w:t>
            </w:r>
          </w:p>
          <w:p w14:paraId="5458516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sym w:font="Wingdings 2" w:char="00A3"/>
            </w:r>
            <w:r>
              <w:rPr>
                <w:rFonts w:eastAsia="宋体"/>
                <w:color w:val="000000" w:themeColor="text1"/>
                <w:sz w:val="24"/>
                <w14:textFill>
                  <w14:solidFill>
                    <w14:schemeClr w14:val="tx1"/>
                  </w14:solidFill>
                </w14:textFill>
              </w:rPr>
              <w:t>是</w:t>
            </w:r>
          </w:p>
        </w:tc>
        <w:tc>
          <w:tcPr>
            <w:tcW w:w="1647" w:type="dxa"/>
            <w:tcMar>
              <w:top w:w="16" w:type="dxa"/>
              <w:left w:w="16" w:type="dxa"/>
              <w:right w:w="16" w:type="dxa"/>
            </w:tcMar>
            <w:vAlign w:val="center"/>
          </w:tcPr>
          <w:p w14:paraId="67842D59">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用地（用海）</w:t>
            </w:r>
          </w:p>
          <w:p w14:paraId="40703B9E">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面积（m</w:t>
            </w:r>
            <w:r>
              <w:rPr>
                <w:rFonts w:eastAsia="宋体"/>
                <w:color w:val="000000" w:themeColor="text1"/>
                <w:sz w:val="24"/>
                <w:vertAlign w:val="superscript"/>
                <w14:textFill>
                  <w14:solidFill>
                    <w14:schemeClr w14:val="tx1"/>
                  </w14:solidFill>
                </w14:textFill>
              </w:rPr>
              <w:t>2</w:t>
            </w:r>
            <w:r>
              <w:rPr>
                <w:rFonts w:eastAsia="宋体"/>
                <w:color w:val="000000" w:themeColor="text1"/>
                <w:sz w:val="24"/>
                <w14:textFill>
                  <w14:solidFill>
                    <w14:schemeClr w14:val="tx1"/>
                  </w14:solidFill>
                </w14:textFill>
              </w:rPr>
              <w:t>）</w:t>
            </w:r>
          </w:p>
        </w:tc>
        <w:tc>
          <w:tcPr>
            <w:tcW w:w="2637" w:type="dxa"/>
            <w:vAlign w:val="center"/>
          </w:tcPr>
          <w:p w14:paraId="27E19502">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16716</w:t>
            </w:r>
          </w:p>
        </w:tc>
      </w:tr>
      <w:tr w14:paraId="7FF7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6" w:hRule="atLeast"/>
          <w:jc w:val="center"/>
        </w:trPr>
        <w:tc>
          <w:tcPr>
            <w:tcW w:w="1892" w:type="dxa"/>
            <w:gridSpan w:val="2"/>
            <w:vAlign w:val="center"/>
          </w:tcPr>
          <w:p w14:paraId="2275198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专项评价设置情况</w:t>
            </w:r>
          </w:p>
        </w:tc>
        <w:tc>
          <w:tcPr>
            <w:tcW w:w="6438" w:type="dxa"/>
            <w:gridSpan w:val="3"/>
            <w:vAlign w:val="center"/>
          </w:tcPr>
          <w:p w14:paraId="5745423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根据《建设项目环境影响报告表编制技术指南（污染影响类）（试行）》，土壤、声环境不开展专项评价，地下水原则上不开展专项评价。项目专项设置情况参照表1-1。</w:t>
            </w:r>
          </w:p>
          <w:p w14:paraId="0A34F57E">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表1-1专项评价设置情况一览表</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28" w:type="dxa"/>
                <w:left w:w="28" w:type="dxa"/>
                <w:bottom w:w="28" w:type="dxa"/>
                <w:right w:w="28" w:type="dxa"/>
              </w:tblCellMar>
            </w:tblPr>
            <w:tblGrid>
              <w:gridCol w:w="823"/>
              <w:gridCol w:w="2300"/>
              <w:gridCol w:w="2221"/>
              <w:gridCol w:w="880"/>
            </w:tblGrid>
            <w:tr w14:paraId="3B6A9B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jc w:val="center"/>
              </w:trPr>
              <w:tc>
                <w:tcPr>
                  <w:tcW w:w="661" w:type="pct"/>
                  <w:tcMar>
                    <w:left w:w="57" w:type="dxa"/>
                    <w:right w:w="57" w:type="dxa"/>
                  </w:tcMar>
                  <w:vAlign w:val="center"/>
                </w:tcPr>
                <w:p w14:paraId="1744661F">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专项评价类别</w:t>
                  </w:r>
                </w:p>
              </w:tc>
              <w:tc>
                <w:tcPr>
                  <w:tcW w:w="1848" w:type="pct"/>
                  <w:tcMar>
                    <w:left w:w="57" w:type="dxa"/>
                    <w:right w:w="57" w:type="dxa"/>
                  </w:tcMar>
                  <w:vAlign w:val="center"/>
                </w:tcPr>
                <w:p w14:paraId="43ACB9FE">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设置原则</w:t>
                  </w:r>
                </w:p>
              </w:tc>
              <w:tc>
                <w:tcPr>
                  <w:tcW w:w="1784" w:type="pct"/>
                  <w:tcMar>
                    <w:left w:w="57" w:type="dxa"/>
                    <w:right w:w="57" w:type="dxa"/>
                  </w:tcMar>
                  <w:vAlign w:val="center"/>
                </w:tcPr>
                <w:p w14:paraId="5EFA5DF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本项目情况</w:t>
                  </w:r>
                </w:p>
              </w:tc>
              <w:tc>
                <w:tcPr>
                  <w:tcW w:w="707" w:type="pct"/>
                  <w:tcMar>
                    <w:left w:w="57" w:type="dxa"/>
                    <w:right w:w="57" w:type="dxa"/>
                  </w:tcMar>
                  <w:vAlign w:val="center"/>
                </w:tcPr>
                <w:p w14:paraId="5A76F4B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是否设置专项</w:t>
                  </w:r>
                </w:p>
              </w:tc>
            </w:tr>
            <w:tr w14:paraId="73E1CB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jc w:val="center"/>
              </w:trPr>
              <w:tc>
                <w:tcPr>
                  <w:tcW w:w="661" w:type="pct"/>
                  <w:tcMar>
                    <w:left w:w="57" w:type="dxa"/>
                    <w:right w:w="57" w:type="dxa"/>
                  </w:tcMar>
                  <w:vAlign w:val="center"/>
                </w:tcPr>
                <w:p w14:paraId="157DF389">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大气</w:t>
                  </w:r>
                </w:p>
              </w:tc>
              <w:tc>
                <w:tcPr>
                  <w:tcW w:w="1848" w:type="pct"/>
                  <w:tcMar>
                    <w:left w:w="57" w:type="dxa"/>
                    <w:right w:w="57" w:type="dxa"/>
                  </w:tcMar>
                  <w:vAlign w:val="center"/>
                </w:tcPr>
                <w:p w14:paraId="00D9A122">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排放废气含有毒有害污染物①、二噁英、苯并[a]芘、氰化物、氯气且厂界外500米范围内有环境空气保护目标②的建设项目。</w:t>
                  </w:r>
                </w:p>
              </w:tc>
              <w:tc>
                <w:tcPr>
                  <w:tcW w:w="1784" w:type="pct"/>
                  <w:tcMar>
                    <w:left w:w="57" w:type="dxa"/>
                    <w:right w:w="57" w:type="dxa"/>
                  </w:tcMar>
                  <w:vAlign w:val="center"/>
                </w:tcPr>
                <w:p w14:paraId="1F504FE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本项目产生的废气主要为颗粒物，不涉及大气专项设置原则中提及的有毒有害物质。</w:t>
                  </w:r>
                </w:p>
              </w:tc>
              <w:tc>
                <w:tcPr>
                  <w:tcW w:w="707" w:type="pct"/>
                  <w:tcMar>
                    <w:left w:w="57" w:type="dxa"/>
                    <w:right w:w="57" w:type="dxa"/>
                  </w:tcMar>
                  <w:vAlign w:val="center"/>
                </w:tcPr>
                <w:p w14:paraId="4844B5B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否</w:t>
                  </w:r>
                </w:p>
              </w:tc>
            </w:tr>
            <w:tr w14:paraId="3B01EC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634" w:hRule="atLeast"/>
                <w:jc w:val="center"/>
              </w:trPr>
              <w:tc>
                <w:tcPr>
                  <w:tcW w:w="661" w:type="pct"/>
                  <w:tcMar>
                    <w:left w:w="57" w:type="dxa"/>
                    <w:right w:w="57" w:type="dxa"/>
                  </w:tcMar>
                  <w:vAlign w:val="center"/>
                </w:tcPr>
                <w:p w14:paraId="175467B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地表水</w:t>
                  </w:r>
                </w:p>
              </w:tc>
              <w:tc>
                <w:tcPr>
                  <w:tcW w:w="1848" w:type="pct"/>
                  <w:tcMar>
                    <w:left w:w="57" w:type="dxa"/>
                    <w:right w:w="57" w:type="dxa"/>
                  </w:tcMar>
                  <w:vAlign w:val="center"/>
                </w:tcPr>
                <w:p w14:paraId="66EB478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新增工业废水直排建设项目（槽罐车外送污水处理厂的除外）；新增废水直排的污水集中处理厂。</w:t>
                  </w:r>
                </w:p>
              </w:tc>
              <w:tc>
                <w:tcPr>
                  <w:tcW w:w="1784" w:type="pct"/>
                  <w:tcMar>
                    <w:left w:w="57" w:type="dxa"/>
                    <w:right w:w="57" w:type="dxa"/>
                  </w:tcMar>
                  <w:vAlign w:val="center"/>
                </w:tcPr>
                <w:p w14:paraId="576C2F8F">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本项目不属于工业废水直排建设项目以及废水直排的污水集中处理厂。</w:t>
                  </w:r>
                </w:p>
              </w:tc>
              <w:tc>
                <w:tcPr>
                  <w:tcW w:w="707" w:type="pct"/>
                  <w:tcMar>
                    <w:left w:w="57" w:type="dxa"/>
                    <w:right w:w="57" w:type="dxa"/>
                  </w:tcMar>
                  <w:vAlign w:val="center"/>
                </w:tcPr>
                <w:p w14:paraId="1B32309F">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否</w:t>
                  </w:r>
                </w:p>
              </w:tc>
            </w:tr>
            <w:tr w14:paraId="4481D3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jc w:val="center"/>
              </w:trPr>
              <w:tc>
                <w:tcPr>
                  <w:tcW w:w="661" w:type="pct"/>
                  <w:tcMar>
                    <w:left w:w="57" w:type="dxa"/>
                    <w:right w:w="57" w:type="dxa"/>
                  </w:tcMar>
                  <w:vAlign w:val="center"/>
                </w:tcPr>
                <w:p w14:paraId="66CA03F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环境风险</w:t>
                  </w:r>
                </w:p>
              </w:tc>
              <w:tc>
                <w:tcPr>
                  <w:tcW w:w="1848" w:type="pct"/>
                  <w:tcMar>
                    <w:left w:w="57" w:type="dxa"/>
                    <w:right w:w="57" w:type="dxa"/>
                  </w:tcMar>
                  <w:vAlign w:val="center"/>
                </w:tcPr>
                <w:p w14:paraId="5AA11DB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有毒有害和易燃易爆危险物质存储量超过临界量③的建设项目。</w:t>
                  </w:r>
                </w:p>
              </w:tc>
              <w:tc>
                <w:tcPr>
                  <w:tcW w:w="1784" w:type="pct"/>
                  <w:tcMar>
                    <w:left w:w="57" w:type="dxa"/>
                    <w:right w:w="57" w:type="dxa"/>
                  </w:tcMar>
                  <w:vAlign w:val="center"/>
                </w:tcPr>
                <w:p w14:paraId="5B3830BF">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本项目危险物质存储量超过临界量，需要做风险专章。</w:t>
                  </w:r>
                </w:p>
                <w:p w14:paraId="26CD498C">
                  <w:pPr>
                    <w:rPr>
                      <w:color w:val="000000" w:themeColor="text1"/>
                      <w14:textFill>
                        <w14:solidFill>
                          <w14:schemeClr w14:val="tx1"/>
                        </w14:solidFill>
                      </w14:textFill>
                    </w:rPr>
                  </w:pPr>
                </w:p>
              </w:tc>
              <w:tc>
                <w:tcPr>
                  <w:tcW w:w="707" w:type="pct"/>
                  <w:tcMar>
                    <w:left w:w="57" w:type="dxa"/>
                    <w:right w:w="57" w:type="dxa"/>
                  </w:tcMar>
                  <w:vAlign w:val="center"/>
                </w:tcPr>
                <w:p w14:paraId="4BCCA588">
                  <w:pPr>
                    <w:jc w:val="center"/>
                    <w:rPr>
                      <w:rFonts w:eastAsia="宋体"/>
                      <w:color w:val="000000" w:themeColor="text1"/>
                      <w:sz w:val="24"/>
                      <w14:textFill>
                        <w14:solidFill>
                          <w14:schemeClr w14:val="tx1"/>
                        </w14:solidFill>
                      </w14:textFill>
                    </w:rPr>
                  </w:pPr>
                  <w:r>
                    <w:rPr>
                      <w:rFonts w:hint="eastAsia" w:eastAsia="宋体"/>
                      <w:color w:val="000000" w:themeColor="text1"/>
                      <w:sz w:val="24"/>
                      <w:lang w:val="en-US" w:eastAsia="zh-CN"/>
                      <w14:textFill>
                        <w14:solidFill>
                          <w14:schemeClr w14:val="tx1"/>
                        </w14:solidFill>
                      </w14:textFill>
                    </w:rPr>
                    <w:t>是</w:t>
                  </w:r>
                </w:p>
              </w:tc>
            </w:tr>
            <w:tr w14:paraId="14BDB0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jc w:val="center"/>
              </w:trPr>
              <w:tc>
                <w:tcPr>
                  <w:tcW w:w="661" w:type="pct"/>
                  <w:tcMar>
                    <w:left w:w="57" w:type="dxa"/>
                    <w:right w:w="57" w:type="dxa"/>
                  </w:tcMar>
                  <w:vAlign w:val="center"/>
                </w:tcPr>
                <w:p w14:paraId="7D22AF49">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生态</w:t>
                  </w:r>
                </w:p>
              </w:tc>
              <w:tc>
                <w:tcPr>
                  <w:tcW w:w="1848" w:type="pct"/>
                  <w:tcMar>
                    <w:left w:w="57" w:type="dxa"/>
                    <w:right w:w="57" w:type="dxa"/>
                  </w:tcMar>
                  <w:vAlign w:val="center"/>
                </w:tcPr>
                <w:p w14:paraId="41076D31">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取水口下游500米范围内有重要水生生物的自然产卵场、索饵场、越冬场和洄游通道的新增河道取水的污染类建设项目。</w:t>
                  </w:r>
                </w:p>
              </w:tc>
              <w:tc>
                <w:tcPr>
                  <w:tcW w:w="1784" w:type="pct"/>
                  <w:tcMar>
                    <w:left w:w="57" w:type="dxa"/>
                    <w:right w:w="57" w:type="dxa"/>
                  </w:tcMar>
                  <w:vAlign w:val="center"/>
                </w:tcPr>
                <w:p w14:paraId="05D715B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本项目不涉及取水口下游500米范围内有重要水生生物的自然产卵场、索饵场、越冬场和洄游通道。</w:t>
                  </w:r>
                </w:p>
              </w:tc>
              <w:tc>
                <w:tcPr>
                  <w:tcW w:w="707" w:type="pct"/>
                  <w:tcMar>
                    <w:left w:w="57" w:type="dxa"/>
                    <w:right w:w="57" w:type="dxa"/>
                  </w:tcMar>
                  <w:vAlign w:val="center"/>
                </w:tcPr>
                <w:p w14:paraId="039C151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否</w:t>
                  </w:r>
                </w:p>
              </w:tc>
            </w:tr>
            <w:tr w14:paraId="66D23B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jc w:val="center"/>
              </w:trPr>
              <w:tc>
                <w:tcPr>
                  <w:tcW w:w="661" w:type="pct"/>
                  <w:tcMar>
                    <w:left w:w="57" w:type="dxa"/>
                    <w:right w:w="57" w:type="dxa"/>
                  </w:tcMar>
                  <w:vAlign w:val="center"/>
                </w:tcPr>
                <w:p w14:paraId="67D7555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海洋</w:t>
                  </w:r>
                </w:p>
              </w:tc>
              <w:tc>
                <w:tcPr>
                  <w:tcW w:w="1848" w:type="pct"/>
                  <w:tcMar>
                    <w:left w:w="57" w:type="dxa"/>
                    <w:right w:w="57" w:type="dxa"/>
                  </w:tcMar>
                  <w:vAlign w:val="center"/>
                </w:tcPr>
                <w:p w14:paraId="6CB806F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直接向海排放污染物的海洋工程建设项目。</w:t>
                  </w:r>
                </w:p>
              </w:tc>
              <w:tc>
                <w:tcPr>
                  <w:tcW w:w="1784" w:type="pct"/>
                  <w:tcMar>
                    <w:left w:w="57" w:type="dxa"/>
                    <w:right w:w="57" w:type="dxa"/>
                  </w:tcMar>
                  <w:vAlign w:val="center"/>
                </w:tcPr>
                <w:p w14:paraId="0B14447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本项目不属于向海洋排放污染物的海洋工程建设项目。</w:t>
                  </w:r>
                </w:p>
              </w:tc>
              <w:tc>
                <w:tcPr>
                  <w:tcW w:w="707" w:type="pct"/>
                  <w:tcMar>
                    <w:left w:w="57" w:type="dxa"/>
                    <w:right w:w="57" w:type="dxa"/>
                  </w:tcMar>
                  <w:vAlign w:val="center"/>
                </w:tcPr>
                <w:p w14:paraId="12EEF9B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否</w:t>
                  </w:r>
                </w:p>
              </w:tc>
            </w:tr>
            <w:tr w14:paraId="1E5D31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jc w:val="center"/>
              </w:trPr>
              <w:tc>
                <w:tcPr>
                  <w:tcW w:w="5000" w:type="pct"/>
                  <w:gridSpan w:val="4"/>
                  <w:tcMar>
                    <w:left w:w="57" w:type="dxa"/>
                    <w:right w:w="57" w:type="dxa"/>
                  </w:tcMar>
                  <w:vAlign w:val="center"/>
                </w:tcPr>
                <w:p w14:paraId="28DFDCD4">
                  <w:pPr>
                    <w:jc w:val="center"/>
                    <w:rPr>
                      <w:rFonts w:eastAsia="宋体"/>
                      <w:color w:val="000000" w:themeColor="text1"/>
                      <w:sz w:val="22"/>
                      <w:szCs w:val="22"/>
                      <w14:textFill>
                        <w14:solidFill>
                          <w14:schemeClr w14:val="tx1"/>
                        </w14:solidFill>
                      </w14:textFill>
                    </w:rPr>
                  </w:pPr>
                  <w:r>
                    <w:rPr>
                      <w:rFonts w:eastAsia="宋体"/>
                      <w:color w:val="000000" w:themeColor="text1"/>
                      <w:sz w:val="22"/>
                      <w:szCs w:val="22"/>
                      <w14:textFill>
                        <w14:solidFill>
                          <w14:schemeClr w14:val="tx1"/>
                        </w14:solidFill>
                      </w14:textFill>
                    </w:rPr>
                    <w:t>注：①废气中有毒有害污染物指纳入《有毒有害大气污染物名录》的污染物（不包括无排放标准的污染物）。</w:t>
                  </w:r>
                </w:p>
                <w:p w14:paraId="398F1030">
                  <w:pPr>
                    <w:jc w:val="center"/>
                    <w:rPr>
                      <w:rFonts w:eastAsia="宋体"/>
                      <w:color w:val="000000" w:themeColor="text1"/>
                      <w:sz w:val="22"/>
                      <w:szCs w:val="22"/>
                      <w14:textFill>
                        <w14:solidFill>
                          <w14:schemeClr w14:val="tx1"/>
                        </w14:solidFill>
                      </w14:textFill>
                    </w:rPr>
                  </w:pPr>
                  <w:r>
                    <w:rPr>
                      <w:rFonts w:eastAsia="宋体"/>
                      <w:color w:val="000000" w:themeColor="text1"/>
                      <w:sz w:val="22"/>
                      <w:szCs w:val="22"/>
                      <w14:textFill>
                        <w14:solidFill>
                          <w14:schemeClr w14:val="tx1"/>
                        </w14:solidFill>
                      </w14:textFill>
                    </w:rPr>
                    <w:t>②环境空气保护目标指自然保护区、风景名胜区、居住区、文化区和农村地区中人群较集中的区域。</w:t>
                  </w:r>
                </w:p>
                <w:p w14:paraId="4E1DA7B1">
                  <w:pPr>
                    <w:jc w:val="center"/>
                    <w:rPr>
                      <w:rFonts w:eastAsia="宋体"/>
                      <w:color w:val="000000" w:themeColor="text1"/>
                      <w:sz w:val="24"/>
                      <w14:textFill>
                        <w14:solidFill>
                          <w14:schemeClr w14:val="tx1"/>
                        </w14:solidFill>
                      </w14:textFill>
                    </w:rPr>
                  </w:pPr>
                  <w:r>
                    <w:rPr>
                      <w:rFonts w:eastAsia="宋体"/>
                      <w:color w:val="000000" w:themeColor="text1"/>
                      <w:sz w:val="22"/>
                      <w:szCs w:val="22"/>
                      <w14:textFill>
                        <w14:solidFill>
                          <w14:schemeClr w14:val="tx1"/>
                        </w14:solidFill>
                      </w14:textFill>
                    </w:rPr>
                    <w:t>③临界量及其计算方法参考《建设项目环境风险评价技术导则》（HJ 169）附录B、附录C。</w:t>
                  </w:r>
                </w:p>
              </w:tc>
            </w:tr>
          </w:tbl>
          <w:p w14:paraId="3A857D69">
            <w:pPr>
              <w:jc w:val="center"/>
              <w:rPr>
                <w:rFonts w:eastAsia="宋体"/>
                <w:color w:val="000000" w:themeColor="text1"/>
                <w:sz w:val="24"/>
                <w14:textFill>
                  <w14:solidFill>
                    <w14:schemeClr w14:val="tx1"/>
                  </w14:solidFill>
                </w14:textFill>
              </w:rPr>
            </w:pPr>
            <w:r>
              <w:rPr>
                <w:rFonts w:eastAsia="宋体"/>
                <w:color w:val="000000" w:themeColor="text1"/>
                <w:sz w:val="22"/>
                <w:szCs w:val="22"/>
                <w14:textFill>
                  <w14:solidFill>
                    <w14:schemeClr w14:val="tx1"/>
                  </w14:solidFill>
                </w14:textFill>
              </w:rPr>
              <w:t>根据上表分析可知，本项目无需开展专项评价工作。</w:t>
            </w:r>
          </w:p>
        </w:tc>
      </w:tr>
      <w:tr w14:paraId="6010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892" w:type="dxa"/>
            <w:gridSpan w:val="2"/>
            <w:vAlign w:val="center"/>
          </w:tcPr>
          <w:p w14:paraId="25FE7C9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规划情况</w:t>
            </w:r>
          </w:p>
        </w:tc>
        <w:tc>
          <w:tcPr>
            <w:tcW w:w="6438" w:type="dxa"/>
            <w:gridSpan w:val="3"/>
            <w:vAlign w:val="center"/>
          </w:tcPr>
          <w:p w14:paraId="02877D48">
            <w:pPr>
              <w:jc w:val="center"/>
              <w:rPr>
                <w:rFonts w:eastAsia="宋体"/>
                <w:color w:val="000000" w:themeColor="text1"/>
                <w:sz w:val="24"/>
                <w14:textFill>
                  <w14:solidFill>
                    <w14:schemeClr w14:val="tx1"/>
                  </w14:solidFill>
                </w14:textFill>
              </w:rPr>
            </w:pPr>
            <w:r>
              <w:rPr>
                <w:rFonts w:hint="eastAsia" w:eastAsia="宋体"/>
                <w:color w:val="000000" w:themeColor="text1"/>
                <w:sz w:val="24"/>
                <w14:textFill>
                  <w14:solidFill>
                    <w14:schemeClr w14:val="tx1"/>
                  </w14:solidFill>
                </w14:textFill>
              </w:rPr>
              <w:t>经核查确认，黑龙江省沃科丰农业科技有限公司厂区位于双鸭山市四方台区河东街道，地处四方台区内的双鸭山市绿色食品及新材料产业园。根据现行优化整合方案，该园区已纳入本次调整范围，该公司所在地块已明确拟调出双鸭山市绿色食品及新材料产业园的管辖范围</w:t>
            </w:r>
          </w:p>
        </w:tc>
      </w:tr>
      <w:tr w14:paraId="78B1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892" w:type="dxa"/>
            <w:gridSpan w:val="2"/>
            <w:vAlign w:val="center"/>
          </w:tcPr>
          <w:p w14:paraId="2FE3B692">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规划环境影响评价情况</w:t>
            </w:r>
          </w:p>
        </w:tc>
        <w:tc>
          <w:tcPr>
            <w:tcW w:w="6438" w:type="dxa"/>
            <w:gridSpan w:val="3"/>
            <w:vAlign w:val="center"/>
          </w:tcPr>
          <w:p w14:paraId="25D04CE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无</w:t>
            </w:r>
          </w:p>
        </w:tc>
      </w:tr>
      <w:tr w14:paraId="0DBA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892" w:type="dxa"/>
            <w:gridSpan w:val="2"/>
            <w:vAlign w:val="center"/>
          </w:tcPr>
          <w:p w14:paraId="458506D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规划及规划环境影响评价符合性分析</w:t>
            </w:r>
          </w:p>
        </w:tc>
        <w:tc>
          <w:tcPr>
            <w:tcW w:w="6438" w:type="dxa"/>
            <w:gridSpan w:val="3"/>
            <w:vAlign w:val="center"/>
          </w:tcPr>
          <w:p w14:paraId="461AE159">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无</w:t>
            </w:r>
          </w:p>
        </w:tc>
      </w:tr>
      <w:tr w14:paraId="1CE9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3" w:hRule="atLeast"/>
          <w:jc w:val="center"/>
        </w:trPr>
        <w:tc>
          <w:tcPr>
            <w:tcW w:w="701" w:type="dxa"/>
            <w:vAlign w:val="center"/>
          </w:tcPr>
          <w:p w14:paraId="5184AB1D">
            <w:pPr>
              <w:autoSpaceDE w:val="0"/>
              <w:autoSpaceDN w:val="0"/>
              <w:adjustRightInd w:val="0"/>
              <w:snapToGrid w:val="0"/>
              <w:jc w:val="center"/>
              <w:rPr>
                <w:rFonts w:eastAsia="宋体"/>
                <w:b/>
                <w:color w:val="000000" w:themeColor="text1"/>
                <w:kern w:val="0"/>
                <w:sz w:val="24"/>
                <w14:textFill>
                  <w14:solidFill>
                    <w14:schemeClr w14:val="tx1"/>
                  </w14:solidFill>
                </w14:textFill>
              </w:rPr>
            </w:pPr>
            <w:r>
              <w:rPr>
                <w:rFonts w:eastAsia="宋体"/>
                <w:b/>
                <w:color w:val="000000" w:themeColor="text1"/>
                <w:kern w:val="0"/>
                <w:sz w:val="24"/>
                <w14:textFill>
                  <w14:solidFill>
                    <w14:schemeClr w14:val="tx1"/>
                  </w14:solidFill>
                </w14:textFill>
              </w:rPr>
              <w:t>其他符合性分析</w:t>
            </w:r>
          </w:p>
        </w:tc>
        <w:tc>
          <w:tcPr>
            <w:tcW w:w="7631" w:type="dxa"/>
            <w:gridSpan w:val="4"/>
            <w:vAlign w:val="center"/>
          </w:tcPr>
          <w:p w14:paraId="7DD4B51A">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1、产业政策符合性分析</w:t>
            </w:r>
          </w:p>
          <w:p w14:paraId="12D14B60">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本项目为氮肥制造项目，项目建成后生产氮肥2000t/a，根据《产业结构调整指导目录（2024年本）》，项目不属于“鼓励类”、“限制类”和“淘汰类”项目，本项目也不使用“淘汰类”设备设施，</w:t>
            </w:r>
            <w:r>
              <w:rPr>
                <w:rFonts w:hint="eastAsia" w:eastAsia="宋体"/>
                <w:color w:val="000000" w:themeColor="text1"/>
                <w:sz w:val="24"/>
                <w14:textFill>
                  <w14:solidFill>
                    <w14:schemeClr w14:val="tx1"/>
                  </w14:solidFill>
                </w14:textFill>
              </w:rPr>
              <w:t>根据“目录”中相关说明“鼓励类、限制类和淘汰类之外的，且符合国家有关法律、法规和政策规定的属于允许类。</w:t>
            </w:r>
            <w:r>
              <w:rPr>
                <w:rFonts w:eastAsia="宋体"/>
                <w:color w:val="000000" w:themeColor="text1"/>
                <w:sz w:val="24"/>
                <w14:textFill>
                  <w14:solidFill>
                    <w14:schemeClr w14:val="tx1"/>
                  </w14:solidFill>
                </w14:textFill>
              </w:rPr>
              <w:t>符合国家产业政策。</w:t>
            </w:r>
          </w:p>
          <w:p w14:paraId="1B3DE9E6">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因此，本项目建设符合国家产业政策要求。</w:t>
            </w:r>
          </w:p>
          <w:p w14:paraId="2C2B9E0D">
            <w:pPr>
              <w:adjustRightInd w:val="0"/>
              <w:snapToGrid w:val="0"/>
              <w:spacing w:line="500" w:lineRule="exact"/>
              <w:ind w:firstLine="482" w:firstLineChars="200"/>
              <w:textAlignment w:val="center"/>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2、项目与“黑龙江省生态分区管控”符合性分析</w:t>
            </w:r>
          </w:p>
          <w:p w14:paraId="218EA80F">
            <w:pPr>
              <w:autoSpaceDE w:val="0"/>
              <w:autoSpaceDN w:val="0"/>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本项目位于黑龙江省双鸭山市四方台区河东街道，用地性质为工业用地。根据黑龙江省生态分区管控数据应用平台出具的《</w:t>
            </w:r>
            <w:r>
              <w:rPr>
                <w:rFonts w:hint="eastAsia" w:eastAsia="宋体"/>
                <w:color w:val="000000" w:themeColor="text1"/>
                <w:sz w:val="24"/>
                <w:lang w:eastAsia="zh-CN"/>
                <w14:textFill>
                  <w14:solidFill>
                    <w14:schemeClr w14:val="tx1"/>
                  </w14:solidFill>
                </w14:textFill>
              </w:rPr>
              <w:t>黑龙江省沃科丰农业科技有限公司新建项目</w:t>
            </w:r>
            <w:r>
              <w:rPr>
                <w:rFonts w:eastAsia="宋体"/>
                <w:color w:val="000000" w:themeColor="text1"/>
                <w:sz w:val="24"/>
                <w14:textFill>
                  <w14:solidFill>
                    <w14:schemeClr w14:val="tx1"/>
                  </w14:solidFill>
                </w14:textFill>
              </w:rPr>
              <w:t>生态环境分区管控分析报告》附件5可知，本项目属于</w:t>
            </w:r>
            <w:r>
              <w:rPr>
                <w:rFonts w:hint="eastAsia" w:eastAsia="宋体"/>
                <w:color w:val="000000" w:themeColor="text1"/>
                <w:sz w:val="24"/>
                <w:lang w:val="en-US" w:eastAsia="zh-CN"/>
                <w14:textFill>
                  <w14:solidFill>
                    <w14:schemeClr w14:val="tx1"/>
                  </w14:solidFill>
                </w14:textFill>
              </w:rPr>
              <w:t>重点</w:t>
            </w:r>
            <w:r>
              <w:rPr>
                <w:rFonts w:eastAsia="宋体"/>
                <w:color w:val="000000" w:themeColor="text1"/>
                <w:sz w:val="24"/>
                <w14:textFill>
                  <w14:solidFill>
                    <w14:schemeClr w14:val="tx1"/>
                  </w14:solidFill>
                </w14:textFill>
              </w:rPr>
              <w:t>管控单元。</w:t>
            </w:r>
          </w:p>
          <w:p w14:paraId="55731730">
            <w:pPr>
              <w:pStyle w:val="31"/>
              <w:ind w:firstLine="180"/>
              <w:jc w:val="center"/>
              <w:rPr>
                <w:rFonts w:eastAsia="宋体"/>
                <w:color w:val="000000" w:themeColor="text1"/>
                <w14:textFill>
                  <w14:solidFill>
                    <w14:schemeClr w14:val="tx1"/>
                  </w14:solidFill>
                </w14:textFill>
              </w:rPr>
            </w:pPr>
            <w:r>
              <w:drawing>
                <wp:inline distT="0" distB="0" distL="114300" distR="114300">
                  <wp:extent cx="4703445" cy="2561590"/>
                  <wp:effectExtent l="0" t="0" r="1905" b="10160"/>
                  <wp:docPr id="8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5"/>
                          <pic:cNvPicPr>
                            <a:picLocks noChangeAspect="1"/>
                          </pic:cNvPicPr>
                        </pic:nvPicPr>
                        <pic:blipFill>
                          <a:blip r:embed="rId22"/>
                          <a:stretch>
                            <a:fillRect/>
                          </a:stretch>
                        </pic:blipFill>
                        <pic:spPr>
                          <a:xfrm>
                            <a:off x="0" y="0"/>
                            <a:ext cx="4703445" cy="2561590"/>
                          </a:xfrm>
                          <a:prstGeom prst="rect">
                            <a:avLst/>
                          </a:prstGeom>
                          <a:noFill/>
                          <a:ln>
                            <a:noFill/>
                          </a:ln>
                        </pic:spPr>
                      </pic:pic>
                    </a:graphicData>
                  </a:graphic>
                </wp:inline>
              </w:drawing>
            </w:r>
          </w:p>
          <w:p w14:paraId="52827618">
            <w:pPr>
              <w:snapToGrid w:val="0"/>
              <w:jc w:val="center"/>
              <w:rPr>
                <w:rFonts w:eastAsia="宋体"/>
                <w:b/>
                <w:bCs/>
                <w:color w:val="000000" w:themeColor="text1"/>
                <w:szCs w:val="21"/>
                <w14:textFill>
                  <w14:solidFill>
                    <w14:schemeClr w14:val="tx1"/>
                  </w14:solidFill>
                </w14:textFill>
              </w:rPr>
            </w:pPr>
            <w:r>
              <w:drawing>
                <wp:inline distT="0" distB="0" distL="114300" distR="114300">
                  <wp:extent cx="4705985" cy="2588260"/>
                  <wp:effectExtent l="0" t="0" r="18415" b="2540"/>
                  <wp:docPr id="8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6"/>
                          <pic:cNvPicPr>
                            <a:picLocks noChangeAspect="1"/>
                          </pic:cNvPicPr>
                        </pic:nvPicPr>
                        <pic:blipFill>
                          <a:blip r:embed="rId23"/>
                          <a:stretch>
                            <a:fillRect/>
                          </a:stretch>
                        </pic:blipFill>
                        <pic:spPr>
                          <a:xfrm>
                            <a:off x="0" y="0"/>
                            <a:ext cx="4705985" cy="2588260"/>
                          </a:xfrm>
                          <a:prstGeom prst="rect">
                            <a:avLst/>
                          </a:prstGeom>
                          <a:noFill/>
                          <a:ln>
                            <a:noFill/>
                          </a:ln>
                        </pic:spPr>
                      </pic:pic>
                    </a:graphicData>
                  </a:graphic>
                </wp:inline>
              </w:drawing>
            </w:r>
            <w:r>
              <w:rPr>
                <w:rFonts w:eastAsia="宋体"/>
                <w:b/>
                <w:bCs/>
                <w:color w:val="000000" w:themeColor="text1"/>
                <w:szCs w:val="21"/>
                <w14:textFill>
                  <w14:solidFill>
                    <w14:schemeClr w14:val="tx1"/>
                  </w14:solidFill>
                </w14:textFill>
              </w:rPr>
              <w:t>图1-1  本项目与环境管控单元对照分析示意图</w:t>
            </w:r>
          </w:p>
          <w:p w14:paraId="603E3649">
            <w:pPr>
              <w:pStyle w:val="28"/>
              <w:spacing w:before="0" w:beforeAutospacing="0" w:after="0" w:afterAutospacing="0" w:line="440" w:lineRule="exact"/>
              <w:jc w:val="center"/>
              <w:rPr>
                <w:rFonts w:ascii="Times New Roman" w:hAnsi="Times New Roman" w:eastAsia="宋体"/>
                <w:b/>
                <w:bCs/>
                <w:color w:val="000000" w:themeColor="text1"/>
                <w14:textFill>
                  <w14:solidFill>
                    <w14:schemeClr w14:val="tx1"/>
                  </w14:solidFill>
                </w14:textFill>
              </w:rPr>
            </w:pPr>
            <w:bookmarkStart w:id="7" w:name="_Toc25275"/>
            <w:bookmarkStart w:id="8" w:name="_Toc31681"/>
            <w:bookmarkStart w:id="9" w:name="_Toc23719"/>
            <w:bookmarkStart w:id="10" w:name="_Toc31290"/>
            <w:bookmarkStart w:id="11" w:name="_Toc15279"/>
            <w:bookmarkStart w:id="12" w:name="_Toc21851"/>
            <w:bookmarkStart w:id="13" w:name="_Toc3149"/>
            <w:r>
              <w:rPr>
                <w:rFonts w:ascii="Times New Roman" w:hAnsi="Times New Roman" w:eastAsia="宋体"/>
                <w:b/>
                <w:bCs/>
                <w:color w:val="000000" w:themeColor="text1"/>
                <w14:textFill>
                  <w14:solidFill>
                    <w14:schemeClr w14:val="tx1"/>
                  </w14:solidFill>
                </w14:textFill>
              </w:rPr>
              <w:t>表1-1  “生态分区管控”符合性分析</w:t>
            </w:r>
            <w:bookmarkEnd w:id="7"/>
            <w:bookmarkEnd w:id="8"/>
            <w:bookmarkEnd w:id="9"/>
            <w:bookmarkEnd w:id="10"/>
            <w:bookmarkEnd w:id="11"/>
            <w:bookmarkEnd w:id="12"/>
            <w:bookmarkEnd w:id="13"/>
          </w:p>
          <w:tbl>
            <w:tblPr>
              <w:tblStyle w:val="33"/>
              <w:tblW w:w="493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3984"/>
              <w:gridCol w:w="2153"/>
            </w:tblGrid>
            <w:tr w14:paraId="49A661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000" w:type="pct"/>
                  <w:gridSpan w:val="3"/>
                  <w:vAlign w:val="center"/>
                </w:tcPr>
                <w:p w14:paraId="3A781712">
                  <w:pPr>
                    <w:adjustRightInd w:val="0"/>
                    <w:snapToGrid w:val="0"/>
                    <w:jc w:val="center"/>
                    <w:textAlignment w:val="baseline"/>
                    <w:rPr>
                      <w:rFonts w:eastAsia="宋体"/>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四、环境准入清单</w:t>
                  </w:r>
                </w:p>
              </w:tc>
            </w:tr>
            <w:tr w14:paraId="6DB0D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05" w:type="pct"/>
                  <w:vAlign w:val="center"/>
                </w:tcPr>
                <w:p w14:paraId="78B0C630">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环境管控单元名称</w:t>
                  </w:r>
                </w:p>
              </w:tc>
              <w:tc>
                <w:tcPr>
                  <w:tcW w:w="4194" w:type="pct"/>
                  <w:gridSpan w:val="2"/>
                  <w:vAlign w:val="center"/>
                </w:tcPr>
                <w:p w14:paraId="42A30D3D">
                  <w:pPr>
                    <w:snapToGrid w:val="0"/>
                    <w:jc w:val="center"/>
                    <w:rPr>
                      <w:rFonts w:eastAsia="宋体"/>
                      <w:color w:val="000000" w:themeColor="text1"/>
                      <w:szCs w:val="21"/>
                      <w14:textFill>
                        <w14:solidFill>
                          <w14:schemeClr w14:val="tx1"/>
                        </w14:solidFill>
                      </w14:textFill>
                    </w:rPr>
                  </w:pPr>
                  <w:r>
                    <w:rPr>
                      <w:rFonts w:eastAsia="宋体"/>
                      <w:bCs/>
                      <w:color w:val="000000" w:themeColor="text1"/>
                      <w:szCs w:val="21"/>
                      <w14:textFill>
                        <w14:solidFill>
                          <w14:schemeClr w14:val="tx1"/>
                        </w14:solidFill>
                      </w14:textFill>
                    </w:rPr>
                    <w:t>四方台区地下水环境二级管控区</w:t>
                  </w:r>
                </w:p>
              </w:tc>
            </w:tr>
            <w:tr w14:paraId="5B87F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05" w:type="pct"/>
                  <w:vAlign w:val="center"/>
                </w:tcPr>
                <w:p w14:paraId="60A09B61">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环境管控单元编码</w:t>
                  </w:r>
                </w:p>
              </w:tc>
              <w:tc>
                <w:tcPr>
                  <w:tcW w:w="4194" w:type="pct"/>
                  <w:gridSpan w:val="2"/>
                  <w:vAlign w:val="center"/>
                </w:tcPr>
                <w:p w14:paraId="6ECE5D13">
                  <w:pPr>
                    <w:adjustRightInd w:val="0"/>
                    <w:snapToGrid w:val="0"/>
                    <w:jc w:val="center"/>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YS2305056220002</w:t>
                  </w:r>
                </w:p>
              </w:tc>
            </w:tr>
            <w:tr w14:paraId="44FE8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05" w:type="pct"/>
                  <w:vAlign w:val="center"/>
                </w:tcPr>
                <w:p w14:paraId="74286F0B">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管控单元类别</w:t>
                  </w:r>
                </w:p>
              </w:tc>
              <w:tc>
                <w:tcPr>
                  <w:tcW w:w="4194" w:type="pct"/>
                  <w:gridSpan w:val="2"/>
                  <w:vAlign w:val="center"/>
                </w:tcPr>
                <w:p w14:paraId="00AA57DB">
                  <w:pPr>
                    <w:adjustRightInd w:val="0"/>
                    <w:snapToGrid w:val="0"/>
                    <w:jc w:val="center"/>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重点管控区</w:t>
                  </w:r>
                </w:p>
              </w:tc>
            </w:tr>
            <w:tr w14:paraId="04E9EB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528" w:type="pct"/>
                  <w:gridSpan w:val="2"/>
                  <w:vAlign w:val="center"/>
                </w:tcPr>
                <w:p w14:paraId="7D111F39">
                  <w:pPr>
                    <w:adjustRightInd w:val="0"/>
                    <w:snapToGrid w:val="0"/>
                    <w:jc w:val="center"/>
                    <w:textAlignment w:val="baseline"/>
                    <w:rPr>
                      <w:rFonts w:eastAsia="宋体"/>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管控要求</w:t>
                  </w:r>
                </w:p>
              </w:tc>
              <w:tc>
                <w:tcPr>
                  <w:tcW w:w="1471" w:type="pct"/>
                  <w:vAlign w:val="center"/>
                </w:tcPr>
                <w:p w14:paraId="63BC3EC3">
                  <w:pPr>
                    <w:adjustRightInd w:val="0"/>
                    <w:snapToGrid w:val="0"/>
                    <w:jc w:val="center"/>
                    <w:textAlignment w:val="baseline"/>
                    <w:rPr>
                      <w:rFonts w:eastAsia="宋体"/>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项目符合性分析</w:t>
                  </w:r>
                </w:p>
              </w:tc>
            </w:tr>
            <w:tr w14:paraId="773F4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8" w:hRule="atLeast"/>
                <w:jc w:val="center"/>
              </w:trPr>
              <w:tc>
                <w:tcPr>
                  <w:tcW w:w="805" w:type="pct"/>
                  <w:vAlign w:val="center"/>
                </w:tcPr>
                <w:p w14:paraId="6EB2B64B">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空间布局约束</w:t>
                  </w:r>
                </w:p>
              </w:tc>
              <w:tc>
                <w:tcPr>
                  <w:tcW w:w="2722" w:type="pct"/>
                  <w:vAlign w:val="center"/>
                </w:tcPr>
                <w:p w14:paraId="735DA4F2">
                  <w:pPr>
                    <w:adjustRightInd w:val="0"/>
                    <w:snapToGrid w:val="0"/>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1.严格建设项目土壤环境影响评价制度。对涉及有毒有害物质可能造成土壤污染的新(改、扩)建项目，依法进行环境影响评价，提出并落实防腐蚀、防渗漏、防遗撒等土壤污染防治具体措施。2.合理规划污染地块用途，从严管控农药、化工等行业中的重度污染地块规划用途，确需开发利用的，鼓励用于拓展生态空间。3.污染地块未经治理与修复，或者经治理与修复但未达到相关规划用地土壤环境质量要求的，有关环境保护主管部门不予批准选址涉及该污染地块的建设项目环境影响报告书或者报告表。</w:t>
                  </w:r>
                </w:p>
              </w:tc>
              <w:tc>
                <w:tcPr>
                  <w:tcW w:w="1471" w:type="pct"/>
                  <w:vMerge w:val="restart"/>
                  <w:vAlign w:val="center"/>
                </w:tcPr>
                <w:p w14:paraId="323D13B7">
                  <w:pPr>
                    <w:adjustRightInd w:val="0"/>
                    <w:snapToGrid w:val="0"/>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本项目为氮肥生产项目，不涉及有毒有害物质，不属于化学品生产企业以及工业集聚区、矿山开采区、尾矿库危险废物处置场、垃圾填埋场等的运营、管理单位，无生产废水产生，不会对地下水造成污染，</w:t>
                  </w:r>
                </w:p>
                <w:p w14:paraId="19E09D61">
                  <w:pPr>
                    <w:adjustRightInd w:val="0"/>
                    <w:snapToGrid w:val="0"/>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不属于“两高”行业产能。</w:t>
                  </w:r>
                </w:p>
              </w:tc>
            </w:tr>
            <w:tr w14:paraId="2012D9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8" w:hRule="atLeast"/>
                <w:jc w:val="center"/>
              </w:trPr>
              <w:tc>
                <w:tcPr>
                  <w:tcW w:w="805" w:type="pct"/>
                  <w:vAlign w:val="center"/>
                </w:tcPr>
                <w:p w14:paraId="0C680A29">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环境风险防控</w:t>
                  </w:r>
                </w:p>
              </w:tc>
              <w:tc>
                <w:tcPr>
                  <w:tcW w:w="2722" w:type="pct"/>
                  <w:vAlign w:val="center"/>
                </w:tcPr>
                <w:p w14:paraId="1F4DE557">
                  <w:pPr>
                    <w:adjustRightInd w:val="0"/>
                    <w:snapToGrid w:val="0"/>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1.化学品生产企业以及工业集聚区、矿山开采区、尾矿库危险废物处置场、垃圾填埋场等的运营、管理单位，应当采取防渗漏等措施，并建设地下水水质监测并进行监测，防止地下水污染。2.指导地下水污染防治重点排污单位优先开展地下水污染渗漏排查，针对存在问题的设施，采取污染防渗改造措施。3.重点单位在隐患排查、监测等活动中发现工矿用地土壤和地下水存在污染迹象的，应当排查污染源，查明污染原因，采取措施防止新增污染，并参照污染地块土壤环境管理有关规定及时开展土壤和地下水环境调查与风险评估，根据调查与风险评估结果采取风险管控或者治理与修复等措施。</w:t>
                  </w:r>
                </w:p>
              </w:tc>
              <w:tc>
                <w:tcPr>
                  <w:tcW w:w="1471" w:type="pct"/>
                  <w:vMerge w:val="continue"/>
                  <w:vAlign w:val="center"/>
                </w:tcPr>
                <w:p w14:paraId="44BB4E95">
                  <w:pPr>
                    <w:adjustRightInd w:val="0"/>
                    <w:snapToGrid w:val="0"/>
                    <w:textAlignment w:val="baseline"/>
                    <w:rPr>
                      <w:rFonts w:eastAsia="宋体"/>
                      <w:color w:val="000000" w:themeColor="text1"/>
                      <w:szCs w:val="21"/>
                      <w14:textFill>
                        <w14:solidFill>
                          <w14:schemeClr w14:val="tx1"/>
                        </w14:solidFill>
                      </w14:textFill>
                    </w:rPr>
                  </w:pPr>
                </w:p>
              </w:tc>
            </w:tr>
            <w:tr w14:paraId="63BBFA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8" w:hRule="atLeast"/>
                <w:jc w:val="center"/>
              </w:trPr>
              <w:tc>
                <w:tcPr>
                  <w:tcW w:w="805" w:type="pct"/>
                  <w:vAlign w:val="center"/>
                </w:tcPr>
                <w:p w14:paraId="47273FCE">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污染物排放管控</w:t>
                  </w:r>
                </w:p>
              </w:tc>
              <w:tc>
                <w:tcPr>
                  <w:tcW w:w="2722" w:type="pct"/>
                  <w:vAlign w:val="center"/>
                </w:tcPr>
                <w:p w14:paraId="1CA41730">
                  <w:pPr>
                    <w:adjustRightInd w:val="0"/>
                    <w:snapToGrid w:val="0"/>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新建、扩建“两高”项目应采用先进适用的工艺技术和装备，单位产品物耗、能耗、水耗等达到清洁生产先进水平依法制定并严格落实防治地下水污染的措施。</w:t>
                  </w:r>
                </w:p>
              </w:tc>
              <w:tc>
                <w:tcPr>
                  <w:tcW w:w="1471" w:type="pct"/>
                  <w:vMerge w:val="continue"/>
                  <w:vAlign w:val="center"/>
                </w:tcPr>
                <w:p w14:paraId="39640FA1">
                  <w:pPr>
                    <w:adjustRightInd w:val="0"/>
                    <w:snapToGrid w:val="0"/>
                    <w:textAlignment w:val="baseline"/>
                    <w:rPr>
                      <w:rFonts w:eastAsia="宋体"/>
                      <w:color w:val="000000" w:themeColor="text1"/>
                      <w:szCs w:val="21"/>
                      <w14:textFill>
                        <w14:solidFill>
                          <w14:schemeClr w14:val="tx1"/>
                        </w14:solidFill>
                      </w14:textFill>
                    </w:rPr>
                  </w:pPr>
                </w:p>
              </w:tc>
            </w:tr>
            <w:tr w14:paraId="28060C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05" w:type="pct"/>
                  <w:vAlign w:val="center"/>
                </w:tcPr>
                <w:p w14:paraId="77571806">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环境管控单元名称</w:t>
                  </w:r>
                </w:p>
              </w:tc>
              <w:tc>
                <w:tcPr>
                  <w:tcW w:w="4194" w:type="pct"/>
                  <w:gridSpan w:val="2"/>
                  <w:vAlign w:val="center"/>
                </w:tcPr>
                <w:p w14:paraId="6013F18E">
                  <w:pPr>
                    <w:adjustRightInd w:val="0"/>
                    <w:snapToGrid w:val="0"/>
                    <w:jc w:val="center"/>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双鸭山市绿色食品及新材料产业园</w:t>
                  </w:r>
                </w:p>
              </w:tc>
            </w:tr>
            <w:tr w14:paraId="6060E1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05" w:type="pct"/>
                  <w:vAlign w:val="center"/>
                </w:tcPr>
                <w:p w14:paraId="48D7B206">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环境管控单元编码</w:t>
                  </w:r>
                </w:p>
              </w:tc>
              <w:tc>
                <w:tcPr>
                  <w:tcW w:w="4194" w:type="pct"/>
                  <w:gridSpan w:val="2"/>
                  <w:vAlign w:val="center"/>
                </w:tcPr>
                <w:p w14:paraId="45B6B52D">
                  <w:pPr>
                    <w:adjustRightInd w:val="0"/>
                    <w:snapToGrid w:val="0"/>
                    <w:jc w:val="center"/>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ZH23050520002</w:t>
                  </w:r>
                </w:p>
              </w:tc>
            </w:tr>
            <w:tr w14:paraId="5C2E7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05" w:type="pct"/>
                  <w:vAlign w:val="center"/>
                </w:tcPr>
                <w:p w14:paraId="2F0AFE65">
                  <w:pPr>
                    <w:adjustRightInd w:val="0"/>
                    <w:snapToGrid w:val="0"/>
                    <w:jc w:val="center"/>
                    <w:textAlignment w:val="baseline"/>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管控单元类别</w:t>
                  </w:r>
                </w:p>
              </w:tc>
              <w:tc>
                <w:tcPr>
                  <w:tcW w:w="4194" w:type="pct"/>
                  <w:gridSpan w:val="2"/>
                  <w:vAlign w:val="center"/>
                </w:tcPr>
                <w:p w14:paraId="1745B6AB">
                  <w:pPr>
                    <w:adjustRightInd w:val="0"/>
                    <w:snapToGrid w:val="0"/>
                    <w:jc w:val="center"/>
                    <w:textAlignment w:val="baseline"/>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双鸭山市绿色食品及新材料产业园</w:t>
                  </w:r>
                </w:p>
              </w:tc>
            </w:tr>
            <w:tr w14:paraId="06FE70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28" w:type="pct"/>
                  <w:gridSpan w:val="2"/>
                  <w:vAlign w:val="center"/>
                </w:tcPr>
                <w:p w14:paraId="68EA9B3C">
                  <w:pPr>
                    <w:adjustRightInd w:val="0"/>
                    <w:snapToGrid w:val="0"/>
                    <w:jc w:val="center"/>
                    <w:rPr>
                      <w:rFonts w:eastAsia="宋体"/>
                      <w:b/>
                      <w:bCs/>
                      <w:color w:val="000000" w:themeColor="text1"/>
                      <w:szCs w:val="21"/>
                      <w:lang w:val="zh-CN"/>
                      <w14:textFill>
                        <w14:solidFill>
                          <w14:schemeClr w14:val="tx1"/>
                        </w14:solidFill>
                      </w14:textFill>
                    </w:rPr>
                  </w:pPr>
                  <w:r>
                    <w:rPr>
                      <w:rFonts w:eastAsia="宋体"/>
                      <w:b/>
                      <w:bCs/>
                      <w:color w:val="000000" w:themeColor="text1"/>
                      <w:szCs w:val="21"/>
                      <w:lang w:val="zh-CN"/>
                      <w14:textFill>
                        <w14:solidFill>
                          <w14:schemeClr w14:val="tx1"/>
                        </w14:solidFill>
                      </w14:textFill>
                    </w:rPr>
                    <w:t>管控要求</w:t>
                  </w:r>
                </w:p>
              </w:tc>
              <w:tc>
                <w:tcPr>
                  <w:tcW w:w="1471" w:type="pct"/>
                  <w:vAlign w:val="center"/>
                </w:tcPr>
                <w:p w14:paraId="4786BDC3">
                  <w:pPr>
                    <w:adjustRightInd w:val="0"/>
                    <w:snapToGrid w:val="0"/>
                    <w:jc w:val="center"/>
                    <w:textAlignment w:val="baseline"/>
                    <w:rPr>
                      <w:rFonts w:eastAsia="宋体"/>
                      <w:b/>
                      <w:bCs/>
                      <w:color w:val="000000" w:themeColor="text1"/>
                      <w:szCs w:val="21"/>
                      <w:lang w:val="zh-TW"/>
                      <w14:textFill>
                        <w14:solidFill>
                          <w14:schemeClr w14:val="tx1"/>
                        </w14:solidFill>
                      </w14:textFill>
                    </w:rPr>
                  </w:pPr>
                  <w:r>
                    <w:rPr>
                      <w:rFonts w:eastAsia="宋体"/>
                      <w:b/>
                      <w:bCs/>
                      <w:color w:val="000000" w:themeColor="text1"/>
                      <w:szCs w:val="21"/>
                      <w:lang w:val="zh-TW"/>
                      <w14:textFill>
                        <w14:solidFill>
                          <w14:schemeClr w14:val="tx1"/>
                        </w14:solidFill>
                      </w14:textFill>
                    </w:rPr>
                    <w:t>项目符合性分析</w:t>
                  </w:r>
                </w:p>
              </w:tc>
            </w:tr>
            <w:tr w14:paraId="63146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5" w:type="pct"/>
                  <w:vAlign w:val="center"/>
                </w:tcPr>
                <w:p w14:paraId="5C560F95">
                  <w:pPr>
                    <w:adjustRightInd w:val="0"/>
                    <w:snapToGrid w:val="0"/>
                    <w:jc w:val="center"/>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空间布局约束</w:t>
                  </w:r>
                </w:p>
              </w:tc>
              <w:tc>
                <w:tcPr>
                  <w:tcW w:w="2722" w:type="pct"/>
                  <w:vAlign w:val="center"/>
                </w:tcPr>
                <w:p w14:paraId="51367BC9">
                  <w:pPr>
                    <w:adjustRightInd w:val="0"/>
                    <w:snapToGrid w:val="0"/>
                    <w:rPr>
                      <w:rFonts w:eastAsia="宋体"/>
                      <w:color w:val="000000" w:themeColor="text1"/>
                      <w:szCs w:val="21"/>
                      <w:lang w:val="zh-CN"/>
                      <w14:textFill>
                        <w14:solidFill>
                          <w14:schemeClr w14:val="tx1"/>
                        </w14:solidFill>
                      </w14:textFill>
                    </w:rPr>
                  </w:pPr>
                  <w:r>
                    <w:rPr>
                      <w:rFonts w:eastAsia="宋体"/>
                      <w:color w:val="000000" w:themeColor="text1"/>
                      <w14:textFill>
                        <w14:solidFill>
                          <w14:schemeClr w14:val="tx1"/>
                        </w14:solidFill>
                      </w14:textFill>
                    </w:rPr>
                    <w:t>1.详见双鸭山市绿色食品及新材料产业园布局规划、产业规划和环境准入负面清单。 2.新、改、扩建项目的环境影响评价，应满足区域、规划环评要求。 3.水环境工业污染重点管控区同时执行“1)区域内严格控制高耗水、高污染行业发展。2)加快淘汰落后产能，大力推进产业结构调整和优化升级。3)根据水资源和水环境承载能力，以水定城、以水定地、以水定人、以水定产。4.大气环境布局敏感重点管控区同时执行“1)严控“两高”行业产能。严格执行钢铁、水泥、平板玻璃等行业产能置换实施办法。2)利用水泥窑协同处置城市生活垃圾、危险废弃物、电石渣等固废伴生水泥项目，必须依托现有新型干法水泥熟料生产线进行不扩产能改造。”5.同时执行“1)入园建设项目开展环评工作时，应以产业园区规划环评为依据，重点分析项目环评与规划环评结论及审查意见的符合性:产业园区招商引资、入园建设项目环评审批等应将规划环评结论及审查意见作为重要依据。2)新建、扩建石化、化工、焦化、有色金属冶炼、平板玻璃项目应布设在依法合规设立并经规划环评的产业园区。煤化工产业项目选址及污染控制措施等须满足安全、环境准入要求，新建项目需布局在一般或较低安全风险等级的化工园区。3)重大制造业项目、依托能源和矿产资源的资源加工业项目原则上布局在重点开发区。4)未纳入国家有关领域产业规划的，一律不得新建改扩建炼油和新建乙烯、对二甲苯、煤制烯烃项目。5)禁止引进国家产业政策明令淘汰和限制的产品、技术、工艺、设备及行为。6)编制产业园区开发建设规划时应依法开展规划环评。7)规划审批机关在审批规划时，应将规划环评结论及审查意见作为决策的重要依据，在审批中未采纳环境影响报告书结论及审查意见的，应当作出说明并存档备查。8)产业园区招商引资、入园建设项目环评审批等应将规划环评结论及审查意见作为重要依据。9)产业园区开发建设规划应符合国家政策和相关法律法规要求，规划发生重大调整或修订的，应当依法重新或补充开展规划环评工作。</w:t>
                  </w:r>
                </w:p>
              </w:tc>
              <w:tc>
                <w:tcPr>
                  <w:tcW w:w="1471" w:type="pct"/>
                  <w:vAlign w:val="center"/>
                </w:tcPr>
                <w:p w14:paraId="7FC4701D">
                  <w:pPr>
                    <w:adjustRightInd w:val="0"/>
                    <w:snapToGrid w:val="0"/>
                    <w:jc w:val="center"/>
                    <w:textAlignment w:val="baseline"/>
                    <w:rPr>
                      <w:rFonts w:hint="default" w:eastAsia="宋体"/>
                      <w:b/>
                      <w:color w:val="000000" w:themeColor="text1"/>
                      <w:szCs w:val="21"/>
                      <w:lang w:val="en-US" w:eastAsia="zh-CN"/>
                      <w14:textFill>
                        <w14:solidFill>
                          <w14:schemeClr w14:val="tx1"/>
                        </w14:solidFill>
                      </w14:textFill>
                    </w:rPr>
                  </w:pPr>
                  <w:r>
                    <w:rPr>
                      <w:rFonts w:eastAsia="宋体"/>
                      <w:color w:val="000000" w:themeColor="text1"/>
                      <w:szCs w:val="21"/>
                      <w14:textFill>
                        <w14:solidFill>
                          <w14:schemeClr w14:val="tx1"/>
                        </w14:solidFill>
                      </w14:textFill>
                    </w:rPr>
                    <w:t>本项目位于黑龙江省双鸭山市四方台区河东街道，不属于双鸭山市绿色食品及新材料产业园。</w:t>
                  </w:r>
                  <w:r>
                    <w:rPr>
                      <w:rStyle w:val="38"/>
                      <w:rFonts w:hint="eastAsia"/>
                      <w:color w:val="000000" w:themeColor="text1"/>
                      <w:kern w:val="0"/>
                      <w:szCs w:val="20"/>
                      <w:lang w:val="en-US" w:eastAsia="zh-CN"/>
                      <w14:textFill>
                        <w14:solidFill>
                          <w14:schemeClr w14:val="tx1"/>
                        </w14:solidFill>
                      </w14:textFill>
                    </w:rPr>
                    <w:t>本项目不属于</w:t>
                  </w:r>
                  <w:r>
                    <w:rPr>
                      <w:rFonts w:eastAsia="宋体"/>
                      <w:color w:val="000000" w:themeColor="text1"/>
                      <w14:textFill>
                        <w14:solidFill>
                          <w14:schemeClr w14:val="tx1"/>
                        </w14:solidFill>
                      </w14:textFill>
                    </w:rPr>
                    <w:t>高耗水、高污染行业</w:t>
                  </w:r>
                  <w:r>
                    <w:rPr>
                      <w:rFonts w:hint="eastAsia" w:eastAsia="宋体"/>
                      <w:color w:val="000000" w:themeColor="text1"/>
                      <w:lang w:eastAsia="zh-CN"/>
                      <w14:textFill>
                        <w14:solidFill>
                          <w14:schemeClr w14:val="tx1"/>
                        </w14:solidFill>
                      </w14:textFill>
                    </w:rPr>
                    <w:t>，</w:t>
                  </w:r>
                  <w:r>
                    <w:rPr>
                      <w:rFonts w:hint="eastAsia" w:eastAsia="宋体"/>
                      <w:color w:val="000000" w:themeColor="text1"/>
                      <w:lang w:val="en-US" w:eastAsia="zh-CN"/>
                      <w14:textFill>
                        <w14:solidFill>
                          <w14:schemeClr w14:val="tx1"/>
                        </w14:solidFill>
                      </w14:textFill>
                    </w:rPr>
                    <w:t>不属于</w:t>
                  </w:r>
                  <w:r>
                    <w:rPr>
                      <w:rFonts w:eastAsia="宋体"/>
                      <w:color w:val="000000" w:themeColor="text1"/>
                      <w14:textFill>
                        <w14:solidFill>
                          <w14:schemeClr w14:val="tx1"/>
                        </w14:solidFill>
                      </w14:textFill>
                    </w:rPr>
                    <w:t>“两高”钢铁、水泥、平板玻璃等行业</w:t>
                  </w:r>
                  <w:r>
                    <w:rPr>
                      <w:rFonts w:hint="eastAsia" w:eastAsia="宋体"/>
                      <w:color w:val="000000" w:themeColor="text1"/>
                      <w:lang w:eastAsia="zh-CN"/>
                      <w14:textFill>
                        <w14:solidFill>
                          <w14:schemeClr w14:val="tx1"/>
                        </w14:solidFill>
                      </w14:textFill>
                    </w:rPr>
                    <w:t>，</w:t>
                  </w:r>
                  <w:r>
                    <w:rPr>
                      <w:rFonts w:hint="eastAsia" w:eastAsia="宋体"/>
                      <w:color w:val="000000" w:themeColor="text1"/>
                      <w:lang w:val="en-US" w:eastAsia="zh-CN"/>
                      <w14:textFill>
                        <w14:solidFill>
                          <w14:schemeClr w14:val="tx1"/>
                        </w14:solidFill>
                      </w14:textFill>
                    </w:rPr>
                    <w:t>本项目属于化肥制造项目，符合政策要求。</w:t>
                  </w:r>
                </w:p>
              </w:tc>
            </w:tr>
            <w:tr w14:paraId="7978F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5" w:type="pct"/>
                  <w:vAlign w:val="center"/>
                </w:tcPr>
                <w:p w14:paraId="0AC086F8">
                  <w:pPr>
                    <w:adjustRightInd w:val="0"/>
                    <w:snapToGrid w:val="0"/>
                    <w:jc w:val="center"/>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污染物排放管控</w:t>
                  </w:r>
                </w:p>
              </w:tc>
              <w:tc>
                <w:tcPr>
                  <w:tcW w:w="2722" w:type="pct"/>
                  <w:vAlign w:val="center"/>
                </w:tcPr>
                <w:p w14:paraId="369DCB18">
                  <w:pPr>
                    <w:adjustRightInd w:val="0"/>
                    <w:snapToGrid w:val="0"/>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1.入驻企业需满足清洁生产要求，要求企业开展清洁生产审核。 2.新建工业窑炉和生产供汽锅炉需使用电、天然气等清洁能源;燃煤电厂需满足超低排放要求，提高煤电高效清洁利用水平。3.落实项目环境影响报告及其批复文件制定的生态环境保护措施和排污许可证制度，强化挥发性有机物污染治理和废气无组织排放控制管理。4.生产废水(含地面冲洗水)、生活污水和受污染的初期雨水需满足园区污水处理厂进水指标(有行业标准的需同时满足行业标准)方可进入园区污水处理厂，园区污水处理厂出水满足《城镇污水处理厂污染物排放标准》(GB8978-1996)中一级标准A标准后作为工业水源实现全部回用，不外排:进水口和出水口均安装自动在线监控装置。5.大气污染物排放总量:热电联产工程S0</w:t>
                  </w:r>
                  <w:r>
                    <w:rPr>
                      <w:rFonts w:eastAsia="宋体"/>
                      <w:color w:val="000000" w:themeColor="text1"/>
                      <w:vertAlign w:val="subscript"/>
                      <w14:textFill>
                        <w14:solidFill>
                          <w14:schemeClr w14:val="tx1"/>
                        </w14:solidFill>
                      </w14:textFill>
                    </w:rPr>
                    <w:t>2</w:t>
                  </w:r>
                  <w:r>
                    <w:rPr>
                      <w:rFonts w:eastAsia="宋体"/>
                      <w:color w:val="000000" w:themeColor="text1"/>
                      <w14:textFill>
                        <w14:solidFill>
                          <w14:schemeClr w14:val="tx1"/>
                        </w14:solidFill>
                      </w14:textFill>
                    </w:rPr>
                    <w:t>、N0x和烟尘(近期建议值)排放量分别为182.10t/a、620.14t/a、52.03t/a。其它入驻项目大气污染物总量指标不得超过热电联产工程总量指标的20%。6.水污染物排放总量(近期):区域内实现回用，不外排至地表水环境。7.水环境工业污染重点管控区同时执行“1)新建、改建和扩建项目应当优先采用资源利用率高以及污染物产生量少的清洁生产技术、工艺和设备。2)集中治理工业集聚区内工业废水，区内工业废水必须经预处理达到集中处理要求后，方可进入污水集中处理设施。新建、升级工业集聚区应同步规划和建设污水、垃圾集中处理等污染治理设施。”8.大气环境布局敏感重点管控区同时执行“1)对以煤、石焦油、渣油、重油等为燃料的锅炉和工业炉窑，加快使用清洁低碳能源以及工厂余热、电力热力等进行替代。2)到2025年，在用65蒸吨/小时以上的燃煤锅炉(含电力)实现超低排放，钢铁企业基本实现超低排放。”(含电力)实现超低排放，钢铁企业基本实现超低排放。”9.同时执行:1)应按规定建设污水集中处理设施，并安装自动在线监控装置。 2)新建、扩建“两高”项目应采用先进适用的工艺技术和装备，单位产品物耗、能耗、水耗等达到清洁生产先进水平，依法制定并严格落实防治土壤与地下水污染的措施。严把新上项目碳排放关，新建、改建、扩建煤电、石化、化工、钢铁、有色冶炼、建材等高耗能、高排放项目，要充分论证，确保能耗、物耗、水耗达到清洁生产先进水平。 3)新、改、扩建涉重金属重点行业建设项目必须遵循重点重金属污染物排放“减量置换”或“等量替换”原则。 4)对于含有毒有害水污染物的工业废水和生活污水混合处理的污水处理厂产生的污泥，不能采用土地利用方式。5)加强消耗臭层物质和氢氟碳化物环境管理，加强泡沫、制冷、氟化工等行业治理，逐步淘汰氢氯氟烃使用。 6)新建煤制烯烃、新建煤制对二甲苯(PX)项目纳入《现代煤化工产业创新发展布局方案》后，由省级政府核准。新建年产超过 100万吨的煤制甲醇项目，由省级政府核准。7)各地不得新建、扩建氟甲烷、1, 1,1,2-四氟乙烷、五氣乙烷、1,1,1-三氟乙烷、1.1.1.3.3-五氣丙烷用作制冷剂、发泡剂等受控用途的 HFCs化工生产设施(不含副立设施)，环境影响报告书(表)已通过审批的除外。</w:t>
                  </w:r>
                </w:p>
              </w:tc>
              <w:tc>
                <w:tcPr>
                  <w:tcW w:w="1471" w:type="pct"/>
                  <w:vAlign w:val="center"/>
                </w:tcPr>
                <w:p w14:paraId="03A24160">
                  <w:pPr>
                    <w:adjustRightInd w:val="0"/>
                    <w:snapToGrid w:val="0"/>
                    <w:jc w:val="center"/>
                    <w:textAlignment w:val="baseline"/>
                    <w:rPr>
                      <w:rFonts w:hint="default" w:eastAsia="宋体"/>
                      <w:color w:val="000000" w:themeColor="text1"/>
                      <w:szCs w:val="21"/>
                      <w:lang w:val="en-US" w:eastAsia="zh-CN"/>
                      <w14:textFill>
                        <w14:solidFill>
                          <w14:schemeClr w14:val="tx1"/>
                        </w14:solidFill>
                      </w14:textFill>
                    </w:rPr>
                  </w:pPr>
                  <w:r>
                    <w:rPr>
                      <w:rFonts w:eastAsia="宋体"/>
                      <w:color w:val="000000" w:themeColor="text1"/>
                      <w:szCs w:val="21"/>
                      <w14:textFill>
                        <w14:solidFill>
                          <w14:schemeClr w14:val="tx1"/>
                        </w14:solidFill>
                      </w14:textFill>
                    </w:rPr>
                    <w:t>本项目位于黑龙江省双鸭山市四方台区河东街道，不属于双鸭山市绿色食品及新材料产业园。</w:t>
                  </w:r>
                  <w:r>
                    <w:rPr>
                      <w:rFonts w:hint="eastAsia" w:eastAsia="宋体"/>
                      <w:color w:val="000000" w:themeColor="text1"/>
                      <w:szCs w:val="21"/>
                      <w:lang w:val="en-US" w:eastAsia="zh-CN"/>
                      <w14:textFill>
                        <w14:solidFill>
                          <w14:schemeClr w14:val="tx1"/>
                        </w14:solidFill>
                      </w14:textFill>
                    </w:rPr>
                    <w:t>本项目不使用锅炉，仅为挤压物理制粒。</w:t>
                  </w:r>
                </w:p>
              </w:tc>
            </w:tr>
            <w:tr w14:paraId="0B166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5" w:type="pct"/>
                  <w:vAlign w:val="center"/>
                </w:tcPr>
                <w:p w14:paraId="1A63D6AE">
                  <w:pPr>
                    <w:adjustRightInd w:val="0"/>
                    <w:snapToGrid w:val="0"/>
                    <w:jc w:val="center"/>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环境风险防控</w:t>
                  </w:r>
                </w:p>
              </w:tc>
              <w:tc>
                <w:tcPr>
                  <w:tcW w:w="2722" w:type="pct"/>
                  <w:vAlign w:val="center"/>
                </w:tcPr>
                <w:p w14:paraId="277B4A1B">
                  <w:pPr>
                    <w:adjustRightInd w:val="0"/>
                    <w:snapToGrid w:val="0"/>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1.强化应急物资储备和救援队伍建设。 2.要求企业在选址、总图布置、建筑安全、危险化学品贮存安全、自动控制设计安全、电气和电讯安全、消防和火灾报警系统、人员培训等方面完善各项环境风险防范措施和制度，突出全防全控，确保将风险防范融入</w:t>
                  </w:r>
                  <w:r>
                    <w:rPr>
                      <w:rFonts w:hint="eastAsia" w:eastAsia="宋体"/>
                      <w:color w:val="000000" w:themeColor="text1"/>
                      <w:lang w:eastAsia="zh-CN"/>
                      <w14:textFill>
                        <w14:solidFill>
                          <w14:schemeClr w14:val="tx1"/>
                        </w14:solidFill>
                      </w14:textFill>
                    </w:rPr>
                    <w:t>日常</w:t>
                  </w:r>
                  <w:r>
                    <w:rPr>
                      <w:rFonts w:eastAsia="宋体"/>
                      <w:color w:val="000000" w:themeColor="text1"/>
                      <w14:textFill>
                        <w14:solidFill>
                          <w14:schemeClr w14:val="tx1"/>
                        </w14:solidFill>
                      </w14:textFill>
                    </w:rPr>
                    <w:t>环境管理制度体系:园区管理部门应加强执法监督，建立危险源数据库并动态更新，实现对重点企业和主要环境风险类型的动态监控。3.园区管理部门应当组织建设有毒有害气体环境风险预警体系，建设园区环境风险防范设施，强化区域环境风险应急防范能力。4.加强环境应急预案管理。园区和园区内企业应当结合经营性质、规模、组织体系，建立健全环境应急预案体系，并强化企业、园区以及上级政府环境应急预案之间的衔接:加强环境应急预案演练、评估与修订:编制园区重污染天气应急预案，与双鸭山市重污染天气应急预案做好衔接，当预测到区域将出现重污染天气时，根据预警发布，按级别启动应急响应措施。5.水环境工业污染重点管控区同时执行“排放《有毒有害水污染物名录》所列有毒有害水污染物的企业事业单位和其他生产经营者，应当对排污口和周边环境进行监测，评估环境风险，排查环境安全隐患，并公开有毒有害水污染物信息，采取有效措施防范环境风险。”6.大气环境布局敏感重点管控区同时执行“禁止在居民区、学校、医疗和养老机构等周边新建有色金</w:t>
                  </w:r>
                  <w:r>
                    <w:rPr>
                      <w:rFonts w:hint="eastAsia" w:eastAsia="宋体"/>
                      <w:color w:val="000000" w:themeColor="text1"/>
                      <w:lang w:val="en-US" w:eastAsia="zh-CN"/>
                      <w14:textFill>
                        <w14:solidFill>
                          <w14:schemeClr w14:val="tx1"/>
                        </w14:solidFill>
                      </w14:textFill>
                    </w:rPr>
                    <w:t>属冶炼</w:t>
                  </w:r>
                  <w:r>
                    <w:rPr>
                      <w:rFonts w:eastAsia="宋体"/>
                      <w:color w:val="000000" w:themeColor="text1"/>
                      <w14:textFill>
                        <w14:solidFill>
                          <w14:schemeClr w14:val="tx1"/>
                        </w14:solidFill>
                      </w14:textFill>
                    </w:rPr>
                    <w:t>、焦化等行业企业。”7.同时执行“加强环境应急预案管理和风险预警。园区及园区内企业应当结合经营性质、规模、组织体系，建立健全环境应急预案体系，并强化企业、园区以及上级政府环境应急预案之间的衔接。加强环境应急预案演练、评估与修订。园区管理机构应当组织建设有毒有害气体环境风险预警体系，建设园区环境风险防范设施。</w:t>
                  </w:r>
                </w:p>
              </w:tc>
              <w:tc>
                <w:tcPr>
                  <w:tcW w:w="1471" w:type="pct"/>
                  <w:vAlign w:val="center"/>
                </w:tcPr>
                <w:p w14:paraId="08535B0C">
                  <w:pPr>
                    <w:adjustRightInd w:val="0"/>
                    <w:snapToGrid w:val="0"/>
                    <w:jc w:val="center"/>
                    <w:textAlignment w:val="baseline"/>
                    <w:rPr>
                      <w:rFonts w:hint="default" w:eastAsia="宋体"/>
                      <w:color w:val="000000" w:themeColor="text1"/>
                      <w:szCs w:val="21"/>
                      <w:lang w:val="en-US" w:eastAsia="zh-CN"/>
                      <w14:textFill>
                        <w14:solidFill>
                          <w14:schemeClr w14:val="tx1"/>
                        </w14:solidFill>
                      </w14:textFill>
                    </w:rPr>
                  </w:pPr>
                  <w:r>
                    <w:rPr>
                      <w:rFonts w:eastAsia="宋体"/>
                      <w:color w:val="000000" w:themeColor="text1"/>
                      <w:szCs w:val="21"/>
                      <w14:textFill>
                        <w14:solidFill>
                          <w14:schemeClr w14:val="tx1"/>
                        </w14:solidFill>
                      </w14:textFill>
                    </w:rPr>
                    <w:t>本项目位于黑龙江省双鸭山市四方台区河东街道，不属于双鸭山市绿色食品及新材料产业园。</w:t>
                  </w:r>
                  <w:r>
                    <w:rPr>
                      <w:rFonts w:hint="eastAsia" w:eastAsia="宋体"/>
                      <w:color w:val="000000" w:themeColor="text1"/>
                      <w:szCs w:val="21"/>
                      <w:lang w:val="en-US" w:eastAsia="zh-CN"/>
                      <w14:textFill>
                        <w14:solidFill>
                          <w14:schemeClr w14:val="tx1"/>
                        </w14:solidFill>
                      </w14:textFill>
                    </w:rPr>
                    <w:t>本项目已开展环境风险专项评价，对环境的污染较小。</w:t>
                  </w:r>
                </w:p>
              </w:tc>
            </w:tr>
            <w:tr w14:paraId="4DDE7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5" w:type="pct"/>
                  <w:vAlign w:val="center"/>
                </w:tcPr>
                <w:p w14:paraId="0A3EE330">
                  <w:pPr>
                    <w:adjustRightInd w:val="0"/>
                    <w:snapToGrid w:val="0"/>
                    <w:jc w:val="center"/>
                    <w:rPr>
                      <w:rFonts w:eastAsia="宋体"/>
                      <w:b/>
                      <w:bCs/>
                      <w:color w:val="000000" w:themeColor="text1"/>
                      <w:szCs w:val="21"/>
                      <w14:textFill>
                        <w14:solidFill>
                          <w14:schemeClr w14:val="tx1"/>
                        </w14:solidFill>
                      </w14:textFill>
                    </w:rPr>
                  </w:pPr>
                  <w:r>
                    <w:rPr>
                      <w:rFonts w:eastAsia="宋体"/>
                      <w:b/>
                      <w:bCs/>
                      <w:color w:val="000000" w:themeColor="text1"/>
                      <w:szCs w:val="21"/>
                      <w14:textFill>
                        <w14:solidFill>
                          <w14:schemeClr w14:val="tx1"/>
                        </w14:solidFill>
                      </w14:textFill>
                    </w:rPr>
                    <w:t>资源开发效率要求</w:t>
                  </w:r>
                </w:p>
              </w:tc>
              <w:tc>
                <w:tcPr>
                  <w:tcW w:w="2722" w:type="pct"/>
                  <w:vAlign w:val="center"/>
                </w:tcPr>
                <w:p w14:paraId="59F95F3D">
                  <w:pPr>
                    <w:adjustRightInd w:val="0"/>
                    <w:snapToGrid w:val="0"/>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1.入驻企业需满足清洁生产要求;要求企业开展清洁生产审核，不断提高企业清洁生产水平。2.单位产品(产值)物耗、能耗、水耗要达到国内先进水平3.落实最严格的水资源管理制度，实行水资源消耗总量和强度双控;加强节水管理，提高中水回用率，延长产业链，优化布局。 4.工业用水优先使用园区污水处理厂中水。5.除产业园热电厂外禁止销售、燃用高污染燃料:禁止新建、改建、扩建任何燃用高污染燃料的项目和设备:已建成使用高污染燃料的各类设备应当拆除或者改用管道天然气、页岩气、液化石油气、电或者其他清洁能源;现有燃用高污染燃料设备在拆除或改造之前，应确保排放的大气污染物达到国家规定的大气污染物排放标准。6.用水量上限:新鲜水(按照园区污水处理厂中水用于园区外企业工业用水考虑) :近期为4万m</w:t>
                  </w:r>
                  <w:r>
                    <w:rPr>
                      <w:rFonts w:eastAsia="宋体"/>
                      <w:color w:val="000000" w:themeColor="text1"/>
                      <w:vertAlign w:val="superscript"/>
                      <w14:textFill>
                        <w14:solidFill>
                          <w14:schemeClr w14:val="tx1"/>
                        </w14:solidFill>
                      </w14:textFill>
                    </w:rPr>
                    <w:t>3</w:t>
                  </w:r>
                  <w:r>
                    <w:rPr>
                      <w:rFonts w:eastAsia="宋体"/>
                      <w:color w:val="000000" w:themeColor="text1"/>
                      <w14:textFill>
                        <w14:solidFill>
                          <w14:schemeClr w14:val="tx1"/>
                        </w14:solidFill>
                      </w14:textFill>
                    </w:rPr>
                    <w:t>/d，远期为5.3万m</w:t>
                  </w:r>
                  <w:r>
                    <w:rPr>
                      <w:rFonts w:eastAsia="宋体"/>
                      <w:color w:val="000000" w:themeColor="text1"/>
                      <w:vertAlign w:val="superscript"/>
                      <w14:textFill>
                        <w14:solidFill>
                          <w14:schemeClr w14:val="tx1"/>
                        </w14:solidFill>
                      </w14:textFill>
                    </w:rPr>
                    <w:t>3</w:t>
                  </w:r>
                  <w:r>
                    <w:rPr>
                      <w:rFonts w:eastAsia="宋体"/>
                      <w:color w:val="000000" w:themeColor="text1"/>
                      <w14:textFill>
                        <w14:solidFill>
                          <w14:schemeClr w14:val="tx1"/>
                        </w14:solidFill>
                      </w14:textFill>
                    </w:rPr>
                    <w:t>/ d。7.建设用地土地资源总量上限:168.90hm</w:t>
                  </w:r>
                  <w:r>
                    <w:rPr>
                      <w:rFonts w:eastAsia="宋体"/>
                      <w:color w:val="000000" w:themeColor="text1"/>
                      <w:vertAlign w:val="superscript"/>
                      <w14:textFill>
                        <w14:solidFill>
                          <w14:schemeClr w14:val="tx1"/>
                        </w14:solidFill>
                      </w14:textFill>
                    </w:rPr>
                    <w:t>2</w:t>
                  </w:r>
                  <w:r>
                    <w:rPr>
                      <w:rFonts w:eastAsia="宋体"/>
                      <w:color w:val="000000" w:themeColor="text1"/>
                      <w14:textFill>
                        <w14:solidFill>
                          <w14:schemeClr w14:val="tx1"/>
                        </w14:solidFill>
                      </w14:textFill>
                    </w:rPr>
                    <w:t>，工业用地总量上限:775.09hm</w:t>
                  </w:r>
                  <w:r>
                    <w:rPr>
                      <w:rFonts w:eastAsia="宋体"/>
                      <w:color w:val="000000" w:themeColor="text1"/>
                      <w:vertAlign w:val="superscript"/>
                      <w14:textFill>
                        <w14:solidFill>
                          <w14:schemeClr w14:val="tx1"/>
                        </w14:solidFill>
                      </w14:textFill>
                    </w:rPr>
                    <w:t>2</w:t>
                  </w:r>
                  <w:r>
                    <w:rPr>
                      <w:rFonts w:eastAsia="宋体"/>
                      <w:color w:val="000000" w:themeColor="text1"/>
                      <w14:textFill>
                        <w14:solidFill>
                          <w14:schemeClr w14:val="tx1"/>
                        </w14:solidFill>
                      </w14:textFill>
                    </w:rPr>
                    <w:t>。8.能耗上限为0.5吨标煤/万元。9.高污染燃料禁燃区同时执行“1)在禁燃区内</w:t>
                  </w:r>
                  <w:r>
                    <w:rPr>
                      <w:rFonts w:hint="eastAsia" w:eastAsia="宋体"/>
                      <w:color w:val="000000" w:themeColor="text1"/>
                      <w:lang w:eastAsia="zh-CN"/>
                      <w14:textFill>
                        <w14:solidFill>
                          <w14:schemeClr w14:val="tx1"/>
                        </w14:solidFill>
                      </w14:textFill>
                    </w:rPr>
                    <w:t>，禁</w:t>
                  </w:r>
                  <w:r>
                    <w:rPr>
                      <w:rFonts w:eastAsia="宋体"/>
                      <w:color w:val="000000" w:themeColor="text1"/>
                      <w14:textFill>
                        <w14:solidFill>
                          <w14:schemeClr w14:val="tx1"/>
                        </w14:solidFill>
                      </w14:textFill>
                    </w:rPr>
                    <w:t>止销售、燃用高污染燃料:禁止新建、扩建燃用高污染燃料的设施，已建成的，应当在城市人民政府规定的期限内改用天然气、页</w:t>
                  </w:r>
                  <w:r>
                    <w:rPr>
                      <w:rFonts w:hint="eastAsia" w:eastAsia="宋体"/>
                      <w:color w:val="000000" w:themeColor="text1"/>
                      <w:lang w:eastAsia="zh-CN"/>
                      <w14:textFill>
                        <w14:solidFill>
                          <w14:schemeClr w14:val="tx1"/>
                        </w14:solidFill>
                      </w14:textFill>
                    </w:rPr>
                    <w:t>岩气</w:t>
                  </w:r>
                  <w:r>
                    <w:rPr>
                      <w:rFonts w:eastAsia="宋体"/>
                      <w:color w:val="000000" w:themeColor="text1"/>
                      <w14:textFill>
                        <w14:solidFill>
                          <w14:schemeClr w14:val="tx1"/>
                        </w14:solidFill>
                      </w14:textFill>
                    </w:rPr>
                    <w:t>、液化石油气、电或者其他清洁能源。2)城市建设应当统筹规划，在燃煤供热地区，推进热电联产和集中供热。在集中供热管网覆盖地区，禁止新建、扩建分散燃煤供热锅炉;已建成的不能达标排放的燃煤供热锅炉，应当在城市人民政府规定的期限内拆除。”10.同时执行“1)落实最严格的水资源管理制度，实行水资源消耗总量和强度双控。2)全面推行清洁生产，依法在“双超双有高耗能”行业实施强制性清洁生产审核。</w:t>
                  </w:r>
                </w:p>
              </w:tc>
              <w:tc>
                <w:tcPr>
                  <w:tcW w:w="1471" w:type="pct"/>
                  <w:vAlign w:val="center"/>
                </w:tcPr>
                <w:p w14:paraId="5C759294">
                  <w:pPr>
                    <w:adjustRightInd w:val="0"/>
                    <w:snapToGrid w:val="0"/>
                    <w:jc w:val="center"/>
                    <w:textAlignment w:val="baseline"/>
                    <w:rPr>
                      <w:rFonts w:hint="default" w:eastAsia="宋体"/>
                      <w:color w:val="000000" w:themeColor="text1"/>
                      <w:szCs w:val="21"/>
                      <w:lang w:val="en-US" w:eastAsia="zh-CN"/>
                      <w14:textFill>
                        <w14:solidFill>
                          <w14:schemeClr w14:val="tx1"/>
                        </w14:solidFill>
                      </w14:textFill>
                    </w:rPr>
                  </w:pPr>
                  <w:r>
                    <w:rPr>
                      <w:rFonts w:eastAsia="宋体"/>
                      <w:color w:val="000000" w:themeColor="text1"/>
                      <w:szCs w:val="21"/>
                      <w14:textFill>
                        <w14:solidFill>
                          <w14:schemeClr w14:val="tx1"/>
                        </w14:solidFill>
                      </w14:textFill>
                    </w:rPr>
                    <w:t>本项目位于黑龙江省双鸭山市</w:t>
                  </w:r>
                  <w:r>
                    <w:rPr>
                      <w:rFonts w:ascii="Times New Roman" w:hAnsi="Times New Roman" w:eastAsia="宋体" w:cs="Times New Roman"/>
                      <w:color w:val="000000" w:themeColor="text1"/>
                      <w:szCs w:val="21"/>
                      <w14:textFill>
                        <w14:solidFill>
                          <w14:schemeClr w14:val="tx1"/>
                        </w14:solidFill>
                      </w14:textFill>
                    </w:rPr>
                    <w:t>四方台区河东街道，不属于双鸭山市绿色食品及新材料产业园。本项目生产不用水，职工生活用水外购桶装水。</w:t>
                  </w:r>
                  <w:r>
                    <w:rPr>
                      <w:rFonts w:hint="eastAsia" w:ascii="Times New Roman" w:hAnsi="Times New Roman" w:eastAsia="宋体" w:cs="Times New Roman"/>
                      <w:color w:val="000000" w:themeColor="text1"/>
                      <w:szCs w:val="21"/>
                      <w:lang w:val="en-US" w:eastAsia="zh-CN"/>
                      <w14:textFill>
                        <w14:solidFill>
                          <w14:schemeClr w14:val="tx1"/>
                        </w14:solidFill>
                      </w14:textFill>
                    </w:rPr>
                    <w:t>不使用锅炉，仅采用物理挤压方法制作化肥。</w:t>
                  </w:r>
                </w:p>
              </w:tc>
            </w:tr>
          </w:tbl>
          <w:p w14:paraId="2A87714E">
            <w:pPr>
              <w:pStyle w:val="31"/>
              <w:ind w:firstLine="482" w:firstLineChars="200"/>
              <w:rPr>
                <w:rFonts w:eastAsia="宋体"/>
                <w:b/>
                <w:bCs/>
                <w:color w:val="000000" w:themeColor="text1"/>
                <w:sz w:val="24"/>
                <w:szCs w:val="24"/>
                <w14:textFill>
                  <w14:solidFill>
                    <w14:schemeClr w14:val="tx1"/>
                  </w14:solidFill>
                </w14:textFill>
              </w:rPr>
            </w:pPr>
            <w:r>
              <w:rPr>
                <w:rFonts w:eastAsia="宋体"/>
                <w:b/>
                <w:bCs/>
                <w:color w:val="000000" w:themeColor="text1"/>
                <w:sz w:val="24"/>
                <w:szCs w:val="24"/>
                <w14:textFill>
                  <w14:solidFill>
                    <w14:schemeClr w14:val="tx1"/>
                  </w14:solidFill>
                </w14:textFill>
              </w:rPr>
              <w:t>3、与《环境空气细颗粒物污染综合防治技术政策》符合性分析</w:t>
            </w:r>
          </w:p>
          <w:p w14:paraId="78870D71">
            <w:pPr>
              <w:adjustRightInd w:val="0"/>
              <w:snapToGrid w:val="0"/>
              <w:spacing w:line="500" w:lineRule="exac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 xml:space="preserve">    </w:t>
            </w:r>
            <w:r>
              <w:rPr>
                <w:rFonts w:eastAsia="宋体"/>
                <w:color w:val="000000" w:themeColor="text1"/>
                <w:sz w:val="24"/>
                <w14:textFill>
                  <w14:solidFill>
                    <w14:schemeClr w14:val="tx1"/>
                  </w14:solidFill>
                </w14:textFill>
              </w:rPr>
              <w:t xml:space="preserve"> 《环境空气细颗粒物污染综合防治技术政策》中提到:(十三)对于排放细颗粒物的工业污染源，应按照生产工艺排放方式和烟(废)气组成的特点，选取适用的污染防治技术工业污染源有组织排放的颗粒物，宜采取袋除尘、电除尘、电袋除尘等高效除尘技术，鼓励火电机组和大型燃煤锅炉采用湿式电除尘等新技术。(二十二)扬尘污染源应以道路扬尘施工扬尘、粉状物料贮存场扬尘、城市裸土起尘等为防治重点。应参照《防治城市扬尘污染技术规范》，开展城市扬尘综合整治，减少城市裸地面积，采取植树种草等措施提高绿化率，或适当采用地面硬化措施，遏制扬尘污染。</w:t>
            </w:r>
          </w:p>
          <w:p w14:paraId="53F575DA">
            <w:pPr>
              <w:adjustRightInd w:val="0"/>
              <w:snapToGrid w:val="0"/>
              <w:spacing w:line="500" w:lineRule="exact"/>
              <w:ind w:firstLine="480" w:firstLineChars="200"/>
              <w:rPr>
                <w:rFonts w:eastAsia="宋体"/>
                <w:b/>
                <w:bCs/>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本项目有组织排放的颗粒物采取袋式除尘，项目生产过程中加强有组织及无组织粉尘治理，本项目符合《环境空气细颗粒物污染综合防治技术政策》。</w:t>
            </w:r>
          </w:p>
          <w:p w14:paraId="3161A410">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4、选址合理性分析</w:t>
            </w:r>
          </w:p>
          <w:p w14:paraId="10C63B97">
            <w:pPr>
              <w:spacing w:line="360" w:lineRule="auto"/>
              <w:ind w:firstLine="480" w:firstLineChars="200"/>
              <w:rPr>
                <w:rFonts w:eastAsia="宋体"/>
                <w:color w:val="000000" w:themeColor="text1"/>
                <w:sz w:val="24"/>
                <w:szCs w:val="32"/>
                <w14:textFill>
                  <w14:solidFill>
                    <w14:schemeClr w14:val="tx1"/>
                  </w14:solidFill>
                </w14:textFill>
              </w:rPr>
            </w:pPr>
            <w:r>
              <w:rPr>
                <w:rFonts w:eastAsia="宋体"/>
                <w:color w:val="000000" w:themeColor="text1"/>
                <w:sz w:val="24"/>
                <w:szCs w:val="32"/>
                <w14:textFill>
                  <w14:solidFill>
                    <w14:schemeClr w14:val="tx1"/>
                  </w14:solidFill>
                </w14:textFill>
              </w:rPr>
              <w:t>本项目位于黑龙江省双鸭山市四方台区河东街道，本项目用地为土地手续（附件2）中的工业用地，项目建设只占用工业用地，不占用旱地与其他田地地块。项目用地不属于生活饮用水源地、地下水补给区、风景名胜区、温泉疗养区、水产养殖区、基本农田保护区、自然保护区。</w:t>
            </w:r>
          </w:p>
          <w:p w14:paraId="6DADFDDA">
            <w:pPr>
              <w:pStyle w:val="78"/>
              <w:adjustRightInd w:val="0"/>
              <w:snapToGrid w:val="0"/>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本项目厂区东侧、西侧为废弃荒地，厂区南侧为黑龙江省翠锦肥业有限公司，厂区北侧隔道路为农田。项目选址地势较平坦，交通便利。</w:t>
            </w:r>
          </w:p>
          <w:p w14:paraId="175D1B24">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本项目属于《建设项目环境影响评价分类管理名录》中化学原料和化学制品制造业中肥料制造，为单纯挤压制粒项目，不涉及化学反应。</w:t>
            </w:r>
          </w:p>
          <w:p w14:paraId="381DD507">
            <w:pPr>
              <w:pStyle w:val="139"/>
              <w:ind w:firstLine="48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本项目建成后，无生产废水排放。本项目原辅料及产品储存在库房内，库房封闭管理；生活污水及食堂污水排入防渗旱厕，定期清掏。对地表水环境影响较小。</w:t>
            </w:r>
          </w:p>
          <w:p w14:paraId="6867A895">
            <w:pPr>
              <w:pStyle w:val="78"/>
              <w:adjustRightInd w:val="0"/>
              <w:snapToGrid w:val="0"/>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在生产加工过程会有废气产生，生产过程中生产车间密闭，在进出料过程中会有废气产生，主要污染物为颗粒物，本项目对大气污染物排放采取相应措施，可使污染物得到有效控制，因此，本项目建设对环境空气影响较小。本项目建成后，选用低噪声设备，通过减振、隔声、降噪、加强管理和设备合理布局等措施，厂界噪声满足《工业企业厂界环境噪声排放标准》（GB12348-2008）中2类标准要求。固体废物通过严格按规范定点存放，定期清运，项目固废不会对项目区周边环境造成影响。综上，本项目选址合理。</w:t>
            </w:r>
          </w:p>
          <w:p w14:paraId="004B404D">
            <w:pPr>
              <w:pStyle w:val="78"/>
              <w:adjustRightInd w:val="0"/>
              <w:snapToGrid w:val="0"/>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5、与《黑龙江省大气污染防治条例》(2018年12月27日修订)符合性分析</w:t>
            </w:r>
          </w:p>
          <w:p w14:paraId="58100B03">
            <w:pPr>
              <w:pStyle w:val="78"/>
              <w:adjustRightInd w:val="0"/>
              <w:snapToGrid w:val="0"/>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根据《黑龙江省大气污染防治条例》第五十五条:建设单位应当将防治扬尘污染的费用列入工程造价，并在施工承包合同中明确施工单位的扬尘污染防治责任。房屋建筑、市政基础设施建设等施工单位应当制定、实施包括重污染天气应对措施在内的施工扬尘污染防治实施方案，并遵守下列规定:(一)在施工工地设置硬质围挡，并负责维护;(二)在施工工地公示扬尘污染防治措施、负责人、扬尘监督管理主管部门等信息;(三)在施工工地出口设置车辆冲洗设施，车辆不得带泥上路，施工工地通道以及出入口周边的道路不得存放建筑垃圾:(四)施工工地出入口、主要通道、加工区等采取硬化处理措施;(五)对施工工地内堆存的建筑土方、工程渣土、建筑垃圾，采取密闭式防尘网遮盖;(六)在施工工地建筑结构脚手架外侧设置有效抑尘的密闭式防尘网:(七)采取封闭方式及时清运建筑垃圾;(八)有效防尘、降尘的其他措施。</w:t>
            </w:r>
          </w:p>
          <w:p w14:paraId="5F25B09A">
            <w:pPr>
              <w:pStyle w:val="78"/>
              <w:adjustRightInd w:val="0"/>
              <w:snapToGrid w:val="0"/>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在施工期时在厂界设置围挡、施工材料采取防尘布苫盖。运营期间运输车辆全部用苫布覆盖，道路定期洒水抑尘，最大限度地降低扬尘污染，本项目符合《黑龙江省大气污染防治条例》要求。本项目不需供暖。项目运营过程中，车间密闭，投料口、进料口上方设置集气罩，颗粒物通过集气罩进行收集，收集效率为90%，经布袋除尘器处理(处理效率为 99%)后,颗粒物排放浓度及排放速率满足《大气污染物综合排放标准》(GB16297-1996)中表2二级标准要求后，由1根15m 高排气筒(A001)排放；未被收集的颗粒物采取车间密闭并洒水降尘措施后，在车间内自然沉降，其余无组织排放，采取以上措施后本项目无组织废气排放量较小，颗粒物厂界排放浓度满足国家《大气污染物综合排放标准》(GB16297-1996)污染源二级排放标准限值中无组织排放监控浓度限值要求，对周围大气环境影响较小。</w:t>
            </w:r>
          </w:p>
        </w:tc>
      </w:tr>
    </w:tbl>
    <w:p w14:paraId="08428EF8">
      <w:pPr>
        <w:spacing w:line="360" w:lineRule="auto"/>
        <w:rPr>
          <w:rFonts w:eastAsia="宋体"/>
          <w:color w:val="000000" w:themeColor="text1"/>
          <w:sz w:val="24"/>
          <w14:textFill>
            <w14:solidFill>
              <w14:schemeClr w14:val="tx1"/>
            </w14:solidFill>
          </w14:textFill>
        </w:rPr>
        <w:sectPr>
          <w:footerReference r:id="rId6" w:type="default"/>
          <w:pgSz w:w="11906" w:h="16838"/>
          <w:pgMar w:top="1440" w:right="1800" w:bottom="1440" w:left="1800" w:header="851" w:footer="992" w:gutter="0"/>
          <w:pgNumType w:start="1"/>
          <w:cols w:space="720" w:num="1"/>
          <w:docGrid w:linePitch="312" w:charSpace="0"/>
        </w:sectPr>
      </w:pPr>
    </w:p>
    <w:p w14:paraId="2998AC58">
      <w:pPr>
        <w:pStyle w:val="28"/>
        <w:adjustRightInd w:val="0"/>
        <w:snapToGrid w:val="0"/>
        <w:spacing w:before="0" w:beforeAutospacing="0" w:after="0" w:afterAutospacing="0" w:line="500" w:lineRule="exact"/>
        <w:jc w:val="center"/>
        <w:outlineLvl w:val="0"/>
        <w:rPr>
          <w:rFonts w:ascii="Times New Roman" w:hAnsi="Times New Roman" w:eastAsia="宋体"/>
          <w:b/>
          <w:bCs/>
          <w:snapToGrid w:val="0"/>
          <w:color w:val="000000" w:themeColor="text1"/>
          <w:szCs w:val="24"/>
          <w14:textFill>
            <w14:solidFill>
              <w14:schemeClr w14:val="tx1"/>
            </w14:solidFill>
          </w14:textFill>
        </w:rPr>
      </w:pPr>
      <w:bookmarkStart w:id="14" w:name="_Toc12941"/>
      <w:r>
        <w:rPr>
          <w:rFonts w:ascii="Times New Roman" w:hAnsi="Times New Roman" w:eastAsia="宋体"/>
          <w:b/>
          <w:bCs/>
          <w:snapToGrid w:val="0"/>
          <w:color w:val="000000" w:themeColor="text1"/>
          <w:szCs w:val="24"/>
          <w14:textFill>
            <w14:solidFill>
              <w14:schemeClr w14:val="tx1"/>
            </w14:solidFill>
          </w14:textFill>
        </w:rPr>
        <w:t>二、建设项目工程分析</w:t>
      </w:r>
      <w:bookmarkEnd w:id="14"/>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7383"/>
      </w:tblGrid>
      <w:tr w14:paraId="4B4D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3" w:type="dxa"/>
            <w:vAlign w:val="center"/>
          </w:tcPr>
          <w:p w14:paraId="0DD3B857">
            <w:pPr>
              <w:pStyle w:val="28"/>
              <w:adjustRightInd w:val="0"/>
              <w:snapToGrid w:val="0"/>
              <w:spacing w:before="0" w:beforeAutospacing="0" w:after="0" w:afterAutospacing="0"/>
              <w:jc w:val="center"/>
              <w:rPr>
                <w:rFonts w:ascii="Times New Roman" w:hAnsi="Times New Roman" w:eastAsia="宋体"/>
                <w:b/>
                <w:color w:val="000000" w:themeColor="text1"/>
                <w:szCs w:val="24"/>
                <w14:textFill>
                  <w14:solidFill>
                    <w14:schemeClr w14:val="tx1"/>
                  </w14:solidFill>
                </w14:textFill>
              </w:rPr>
            </w:pPr>
            <w:r>
              <w:rPr>
                <w:rFonts w:ascii="Times New Roman" w:hAnsi="Times New Roman" w:eastAsia="宋体"/>
                <w:b/>
                <w:color w:val="000000" w:themeColor="text1"/>
                <w:szCs w:val="24"/>
                <w14:textFill>
                  <w14:solidFill>
                    <w14:schemeClr w14:val="tx1"/>
                  </w14:solidFill>
                </w14:textFill>
              </w:rPr>
              <w:t>建设内容</w:t>
            </w:r>
          </w:p>
        </w:tc>
        <w:tc>
          <w:tcPr>
            <w:tcW w:w="7383" w:type="dxa"/>
          </w:tcPr>
          <w:p w14:paraId="6A60DF84">
            <w:pPr>
              <w:adjustRightInd w:val="0"/>
              <w:snapToGrid w:val="0"/>
              <w:spacing w:line="500" w:lineRule="exact"/>
              <w:ind w:firstLine="482" w:firstLineChars="200"/>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1、项目概况</w:t>
            </w:r>
          </w:p>
          <w:p w14:paraId="59A673F6">
            <w:pPr>
              <w:adjustRightInd w:val="0"/>
              <w:snapToGrid w:val="0"/>
              <w:spacing w:line="500" w:lineRule="exact"/>
              <w:ind w:firstLine="480" w:firstLineChars="200"/>
              <w:rPr>
                <w:rFonts w:eastAsia="宋体"/>
                <w:color w:val="000000" w:themeColor="text1"/>
                <w:sz w:val="24"/>
                <w14:textFill>
                  <w14:solidFill>
                    <w14:schemeClr w14:val="tx1"/>
                  </w14:solidFill>
                </w14:textFill>
              </w:rPr>
            </w:pPr>
            <w:bookmarkStart w:id="15" w:name="_Hlk85619303"/>
            <w:bookmarkStart w:id="16" w:name="_Hlk84348584"/>
            <w:r>
              <w:rPr>
                <w:rFonts w:eastAsia="宋体"/>
                <w:color w:val="000000" w:themeColor="text1"/>
                <w:sz w:val="24"/>
                <w14:textFill>
                  <w14:solidFill>
                    <w14:schemeClr w14:val="tx1"/>
                  </w14:solidFill>
                </w14:textFill>
              </w:rPr>
              <w:t>本项目为新建项目，项目位于黑龙江省双鸭山市四方台区河东街道，项目占地面积为16716m</w:t>
            </w:r>
            <w:r>
              <w:rPr>
                <w:rFonts w:eastAsia="宋体"/>
                <w:color w:val="000000" w:themeColor="text1"/>
                <w:sz w:val="24"/>
                <w:vertAlign w:val="superscript"/>
                <w14:textFill>
                  <w14:solidFill>
                    <w14:schemeClr w14:val="tx1"/>
                  </w14:solidFill>
                </w14:textFill>
              </w:rPr>
              <w:t>2</w:t>
            </w:r>
            <w:r>
              <w:rPr>
                <w:rFonts w:eastAsia="宋体"/>
                <w:color w:val="000000" w:themeColor="text1"/>
                <w:sz w:val="24"/>
                <w14:textFill>
                  <w14:solidFill>
                    <w14:schemeClr w14:val="tx1"/>
                  </w14:solidFill>
                </w14:textFill>
              </w:rPr>
              <w:t>，本项目租用现有空闲厂房、房屋进行设备安装及相关改造。主要建筑物包括生产车间、车库、门卫、原料库、成品库等。新建一条氮肥生产线，本项目建成后氮肥生产量为</w:t>
            </w:r>
            <w:bookmarkEnd w:id="15"/>
            <w:r>
              <w:rPr>
                <w:rFonts w:eastAsia="宋体"/>
                <w:color w:val="000000" w:themeColor="text1"/>
                <w:sz w:val="24"/>
                <w14:textFill>
                  <w14:solidFill>
                    <w14:schemeClr w14:val="tx1"/>
                  </w14:solidFill>
                </w14:textFill>
              </w:rPr>
              <w:t>2000t/a。</w:t>
            </w:r>
            <w:bookmarkStart w:id="17" w:name="_Hlk97226543"/>
          </w:p>
          <w:bookmarkEnd w:id="16"/>
          <w:bookmarkEnd w:id="17"/>
          <w:p w14:paraId="7D45E769">
            <w:pPr>
              <w:adjustRightInd w:val="0"/>
              <w:snapToGrid w:val="0"/>
              <w:spacing w:line="500" w:lineRule="exact"/>
              <w:ind w:firstLine="482" w:firstLineChars="200"/>
              <w:rPr>
                <w:rFonts w:eastAsia="宋体"/>
                <w:b/>
                <w:color w:val="000000" w:themeColor="text1"/>
                <w:sz w:val="24"/>
                <w14:textFill>
                  <w14:solidFill>
                    <w14:schemeClr w14:val="tx1"/>
                  </w14:solidFill>
                </w14:textFill>
              </w:rPr>
            </w:pPr>
            <w:bookmarkStart w:id="18" w:name="_Hlk84530492"/>
            <w:r>
              <w:rPr>
                <w:rFonts w:eastAsia="宋体"/>
                <w:b/>
                <w:color w:val="000000" w:themeColor="text1"/>
                <w:sz w:val="24"/>
                <w14:textFill>
                  <w14:solidFill>
                    <w14:schemeClr w14:val="tx1"/>
                  </w14:solidFill>
                </w14:textFill>
              </w:rPr>
              <w:t>2、建设内容</w:t>
            </w:r>
          </w:p>
          <w:p w14:paraId="0D7B7FD6">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本次工程项目组成主要包括主体工程、辅助工程、公用工程、储运工程及环保工程，</w:t>
            </w:r>
            <w:bookmarkStart w:id="19" w:name="_Hlk84348599"/>
            <w:r>
              <w:rPr>
                <w:rFonts w:eastAsia="宋体"/>
                <w:color w:val="000000" w:themeColor="text1"/>
                <w:sz w:val="24"/>
                <w14:textFill>
                  <w14:solidFill>
                    <w14:schemeClr w14:val="tx1"/>
                  </w14:solidFill>
                </w14:textFill>
              </w:rPr>
              <w:t>本项目建设内容见下表</w:t>
            </w:r>
            <w:bookmarkEnd w:id="19"/>
            <w:r>
              <w:rPr>
                <w:rFonts w:eastAsia="宋体"/>
                <w:color w:val="000000" w:themeColor="text1"/>
                <w:sz w:val="24"/>
                <w14:textFill>
                  <w14:solidFill>
                    <w14:schemeClr w14:val="tx1"/>
                  </w14:solidFill>
                </w14:textFill>
              </w:rPr>
              <w:t>。</w:t>
            </w:r>
          </w:p>
          <w:bookmarkEnd w:id="18"/>
          <w:p w14:paraId="0E958E79">
            <w:pPr>
              <w:spacing w:line="480" w:lineRule="exact"/>
              <w:jc w:val="center"/>
              <w:rPr>
                <w:rFonts w:eastAsia="宋体"/>
                <w:b/>
                <w:color w:val="000000" w:themeColor="text1"/>
                <w:sz w:val="24"/>
                <w14:textFill>
                  <w14:solidFill>
                    <w14:schemeClr w14:val="tx1"/>
                  </w14:solidFill>
                </w14:textFill>
              </w:rPr>
            </w:pPr>
            <w:bookmarkStart w:id="20" w:name="_Hlk84348629"/>
            <w:r>
              <w:rPr>
                <w:rFonts w:eastAsia="宋体"/>
                <w:b/>
                <w:color w:val="000000" w:themeColor="text1"/>
                <w:sz w:val="24"/>
                <w14:textFill>
                  <w14:solidFill>
                    <w14:schemeClr w14:val="tx1"/>
                  </w14:solidFill>
                </w14:textFill>
              </w:rPr>
              <w:t>表2-1项目组成一览表</w:t>
            </w:r>
          </w:p>
          <w:bookmarkEnd w:id="20"/>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9"/>
              <w:gridCol w:w="629"/>
              <w:gridCol w:w="4888"/>
              <w:gridCol w:w="1131"/>
            </w:tblGrid>
            <w:tr w14:paraId="3F10EE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Align w:val="center"/>
                </w:tcPr>
                <w:p w14:paraId="1D2EEB38">
                  <w:pPr>
                    <w:adjustRightInd w:val="0"/>
                    <w:snapToGrid w:val="0"/>
                    <w:jc w:val="center"/>
                    <w:rPr>
                      <w:rFonts w:eastAsia="宋体"/>
                      <w:color w:val="000000" w:themeColor="text1"/>
                      <w:sz w:val="24"/>
                      <w14:textFill>
                        <w14:solidFill>
                          <w14:schemeClr w14:val="tx1"/>
                        </w14:solidFill>
                      </w14:textFill>
                    </w:rPr>
                  </w:pPr>
                  <w:bookmarkStart w:id="21" w:name="_Hlk84348650"/>
                  <w:r>
                    <w:rPr>
                      <w:rFonts w:eastAsia="宋体"/>
                      <w:color w:val="000000" w:themeColor="text1"/>
                      <w:sz w:val="24"/>
                      <w14:textFill>
                        <w14:solidFill>
                          <w14:schemeClr w14:val="tx1"/>
                        </w14:solidFill>
                      </w14:textFill>
                    </w:rPr>
                    <w:t>工程</w:t>
                  </w:r>
                </w:p>
                <w:p w14:paraId="1AF6746B">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类别</w:t>
                  </w:r>
                </w:p>
              </w:tc>
              <w:tc>
                <w:tcPr>
                  <w:tcW w:w="439" w:type="pct"/>
                  <w:vAlign w:val="center"/>
                </w:tcPr>
                <w:p w14:paraId="32B4582B">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项目名称</w:t>
                  </w:r>
                </w:p>
              </w:tc>
              <w:tc>
                <w:tcPr>
                  <w:tcW w:w="3409" w:type="pct"/>
                  <w:vAlign w:val="center"/>
                </w:tcPr>
                <w:p w14:paraId="2F89B3E1">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工程建设内容及规模</w:t>
                  </w:r>
                </w:p>
              </w:tc>
              <w:tc>
                <w:tcPr>
                  <w:tcW w:w="789" w:type="pct"/>
                  <w:vAlign w:val="center"/>
                </w:tcPr>
                <w:p w14:paraId="7C93EF7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备注</w:t>
                  </w:r>
                </w:p>
              </w:tc>
            </w:tr>
            <w:tr w14:paraId="24E9B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Align w:val="center"/>
                </w:tcPr>
                <w:p w14:paraId="11202E0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主体</w:t>
                  </w:r>
                </w:p>
                <w:p w14:paraId="3A8454D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tc>
              <w:tc>
                <w:tcPr>
                  <w:tcW w:w="439" w:type="pct"/>
                  <w:vAlign w:val="center"/>
                </w:tcPr>
                <w:p w14:paraId="6940D5E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生产车间</w:t>
                  </w:r>
                </w:p>
              </w:tc>
              <w:tc>
                <w:tcPr>
                  <w:tcW w:w="3409" w:type="pct"/>
                  <w:vAlign w:val="center"/>
                </w:tcPr>
                <w:p w14:paraId="1F7D6BCE">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1层，高10米，建筑面积400m</w:t>
                  </w:r>
                  <w:r>
                    <w:rPr>
                      <w:rFonts w:eastAsia="宋体"/>
                      <w:color w:val="000000" w:themeColor="text1"/>
                      <w:sz w:val="24"/>
                      <w:vertAlign w:val="superscript"/>
                      <w14:textFill>
                        <w14:solidFill>
                          <w14:schemeClr w14:val="tx1"/>
                        </w14:solidFill>
                      </w14:textFill>
                    </w:rPr>
                    <w:t>2</w:t>
                  </w:r>
                  <w:r>
                    <w:rPr>
                      <w:rFonts w:eastAsia="宋体"/>
                      <w:color w:val="000000" w:themeColor="text1"/>
                      <w:sz w:val="24"/>
                      <w14:textFill>
                        <w14:solidFill>
                          <w14:schemeClr w14:val="tx1"/>
                        </w14:solidFill>
                      </w14:textFill>
                    </w:rPr>
                    <w:t>，生产车间内新建一条氮肥生产线，主要生产设备为粉碎机、搅拌机等。</w:t>
                  </w:r>
                </w:p>
              </w:tc>
              <w:tc>
                <w:tcPr>
                  <w:tcW w:w="789" w:type="pct"/>
                  <w:vAlign w:val="center"/>
                </w:tcPr>
                <w:p w14:paraId="18873677">
                  <w:pPr>
                    <w:pStyle w:val="39"/>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依托现有厂房</w:t>
                  </w:r>
                </w:p>
              </w:tc>
            </w:tr>
            <w:tr w14:paraId="2ED502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362" w:type="pct"/>
                  <w:vMerge w:val="restart"/>
                  <w:vAlign w:val="center"/>
                </w:tcPr>
                <w:p w14:paraId="29985284">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储运</w:t>
                  </w:r>
                </w:p>
                <w:p w14:paraId="7840EBA2">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tc>
              <w:tc>
                <w:tcPr>
                  <w:tcW w:w="439" w:type="pct"/>
                  <w:vAlign w:val="center"/>
                </w:tcPr>
                <w:p w14:paraId="2DC0377D">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原料库</w:t>
                  </w:r>
                </w:p>
              </w:tc>
              <w:tc>
                <w:tcPr>
                  <w:tcW w:w="3409" w:type="pct"/>
                  <w:vAlign w:val="center"/>
                </w:tcPr>
                <w:p w14:paraId="2EF3E2B8">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1层，高5米，建筑面积为2400m</w:t>
                  </w:r>
                  <w:r>
                    <w:rPr>
                      <w:rFonts w:eastAsia="宋体"/>
                      <w:color w:val="000000" w:themeColor="text1"/>
                      <w:sz w:val="24"/>
                      <w:vertAlign w:val="superscript"/>
                      <w14:textFill>
                        <w14:solidFill>
                          <w14:schemeClr w14:val="tx1"/>
                        </w14:solidFill>
                      </w14:textFill>
                    </w:rPr>
                    <w:t>2</w:t>
                  </w:r>
                  <w:r>
                    <w:rPr>
                      <w:rFonts w:eastAsia="宋体"/>
                      <w:color w:val="000000" w:themeColor="text1"/>
                      <w:sz w:val="24"/>
                      <w14:textFill>
                        <w14:solidFill>
                          <w14:schemeClr w14:val="tx1"/>
                        </w14:solidFill>
                      </w14:textFill>
                    </w:rPr>
                    <w:t>。主要存储原料，原料库房最大贮存量为2400t，硫酸铵袋装存于原料库房。</w:t>
                  </w:r>
                </w:p>
              </w:tc>
              <w:tc>
                <w:tcPr>
                  <w:tcW w:w="789" w:type="pct"/>
                  <w:vAlign w:val="center"/>
                </w:tcPr>
                <w:p w14:paraId="1A425F8C">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依托现有厂房</w:t>
                  </w:r>
                </w:p>
              </w:tc>
            </w:tr>
            <w:tr w14:paraId="002314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362" w:type="pct"/>
                  <w:vMerge w:val="continue"/>
                  <w:vAlign w:val="center"/>
                </w:tcPr>
                <w:p w14:paraId="72CE9ADF">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0235C2A8">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成品库</w:t>
                  </w:r>
                </w:p>
              </w:tc>
              <w:tc>
                <w:tcPr>
                  <w:tcW w:w="3409" w:type="pct"/>
                  <w:vAlign w:val="center"/>
                </w:tcPr>
                <w:p w14:paraId="47B4A8BF">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1层，高7米，建筑面积为4000m</w:t>
                  </w:r>
                  <w:r>
                    <w:rPr>
                      <w:rFonts w:eastAsia="宋体"/>
                      <w:color w:val="000000" w:themeColor="text1"/>
                      <w:sz w:val="24"/>
                      <w:vertAlign w:val="superscript"/>
                      <w14:textFill>
                        <w14:solidFill>
                          <w14:schemeClr w14:val="tx1"/>
                        </w14:solidFill>
                      </w14:textFill>
                    </w:rPr>
                    <w:t>2</w:t>
                  </w:r>
                  <w:r>
                    <w:rPr>
                      <w:rFonts w:eastAsia="宋体"/>
                      <w:color w:val="000000" w:themeColor="text1"/>
                      <w:sz w:val="24"/>
                      <w14:textFill>
                        <w14:solidFill>
                          <w14:schemeClr w14:val="tx1"/>
                        </w14:solidFill>
                      </w14:textFill>
                    </w:rPr>
                    <w:t>。主要存储化肥成品，最大贮存量为3000t。</w:t>
                  </w:r>
                </w:p>
              </w:tc>
              <w:tc>
                <w:tcPr>
                  <w:tcW w:w="789" w:type="pct"/>
                  <w:vAlign w:val="center"/>
                </w:tcPr>
                <w:p w14:paraId="07F65D3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新建</w:t>
                  </w:r>
                </w:p>
              </w:tc>
            </w:tr>
            <w:tr w14:paraId="08250F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362" w:type="pct"/>
                  <w:vMerge w:val="restart"/>
                  <w:vAlign w:val="center"/>
                </w:tcPr>
                <w:p w14:paraId="05C8D17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辅助</w:t>
                  </w:r>
                </w:p>
                <w:p w14:paraId="63E5AEF9">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tc>
              <w:tc>
                <w:tcPr>
                  <w:tcW w:w="439" w:type="pct"/>
                  <w:vAlign w:val="center"/>
                </w:tcPr>
                <w:p w14:paraId="1B512C5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门卫室</w:t>
                  </w:r>
                </w:p>
              </w:tc>
              <w:tc>
                <w:tcPr>
                  <w:tcW w:w="3409" w:type="pct"/>
                  <w:vAlign w:val="center"/>
                </w:tcPr>
                <w:p w14:paraId="6C9E6158">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2层，高7米，总</w:t>
                  </w:r>
                  <w:r>
                    <w:rPr>
                      <w:rStyle w:val="105"/>
                      <w:rFonts w:ascii="Times New Roman" w:eastAsia="宋体"/>
                      <w:color w:val="000000" w:themeColor="text1"/>
                      <w14:textFill>
                        <w14:solidFill>
                          <w14:schemeClr w14:val="tx1"/>
                        </w14:solidFill>
                      </w14:textFill>
                    </w:rPr>
                    <w:t>建筑面积600</w:t>
                  </w:r>
                  <w:r>
                    <w:rPr>
                      <w:rFonts w:eastAsia="宋体"/>
                      <w:color w:val="000000" w:themeColor="text1"/>
                      <w:sz w:val="24"/>
                      <w14:textFill>
                        <w14:solidFill>
                          <w14:schemeClr w14:val="tx1"/>
                        </w14:solidFill>
                      </w14:textFill>
                    </w:rPr>
                    <w:t>m</w:t>
                  </w:r>
                  <w:r>
                    <w:rPr>
                      <w:rFonts w:eastAsia="宋体"/>
                      <w:color w:val="000000" w:themeColor="text1"/>
                      <w:sz w:val="24"/>
                      <w:vertAlign w:val="superscript"/>
                      <w14:textFill>
                        <w14:solidFill>
                          <w14:schemeClr w14:val="tx1"/>
                        </w14:solidFill>
                      </w14:textFill>
                    </w:rPr>
                    <w:t>2</w:t>
                  </w:r>
                  <w:r>
                    <w:rPr>
                      <w:rStyle w:val="105"/>
                      <w:rFonts w:ascii="Times New Roman" w:eastAsia="宋体"/>
                      <w:color w:val="000000" w:themeColor="text1"/>
                      <w14:textFill>
                        <w14:solidFill>
                          <w14:schemeClr w14:val="tx1"/>
                        </w14:solidFill>
                      </w14:textFill>
                    </w:rPr>
                    <w:t>，用于厂内办公。</w:t>
                  </w:r>
                </w:p>
              </w:tc>
              <w:tc>
                <w:tcPr>
                  <w:tcW w:w="789" w:type="pct"/>
                  <w:vAlign w:val="center"/>
                </w:tcPr>
                <w:p w14:paraId="07A6E9AB">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依托现有厂房</w:t>
                  </w:r>
                </w:p>
              </w:tc>
            </w:tr>
            <w:tr w14:paraId="7C11B7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62" w:type="pct"/>
                  <w:vMerge w:val="continue"/>
                  <w:vAlign w:val="center"/>
                </w:tcPr>
                <w:p w14:paraId="32689B75">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01083CC4">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闲置库房</w:t>
                  </w:r>
                </w:p>
              </w:tc>
              <w:tc>
                <w:tcPr>
                  <w:tcW w:w="3409" w:type="pct"/>
                  <w:vAlign w:val="center"/>
                </w:tcPr>
                <w:p w14:paraId="147E3252">
                  <w:pPr>
                    <w:adjustRightInd w:val="0"/>
                    <w:snapToGrid w:val="0"/>
                    <w:rPr>
                      <w:rFonts w:eastAsia="宋体"/>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共</w:t>
                  </w:r>
                  <w:r>
                    <w:rPr>
                      <w:rFonts w:hint="eastAsia" w:ascii="Times New Roman" w:hAnsi="Times New Roman" w:eastAsia="宋体" w:cs="Times New Roman"/>
                      <w:color w:val="000000" w:themeColor="text1"/>
                      <w:sz w:val="24"/>
                      <w14:textFill>
                        <w14:solidFill>
                          <w14:schemeClr w14:val="tx1"/>
                        </w14:solidFill>
                      </w14:textFill>
                    </w:rPr>
                    <w:t>5座闲置厂房，</w:t>
                  </w:r>
                  <w:r>
                    <w:rPr>
                      <w:rFonts w:ascii="Times New Roman" w:hAnsi="Times New Roman" w:eastAsia="宋体" w:cs="Times New Roman"/>
                      <w:color w:val="000000" w:themeColor="text1"/>
                      <w:sz w:val="24"/>
                      <w14:textFill>
                        <w14:solidFill>
                          <w14:schemeClr w14:val="tx1"/>
                        </w14:solidFill>
                      </w14:textFill>
                    </w:rPr>
                    <w:t>均为1层，高5米，闲置库房1、2、3、4、5，总建筑面积10</w:t>
                  </w:r>
                  <w:r>
                    <w:rPr>
                      <w:rStyle w:val="105"/>
                      <w:rFonts w:ascii="Times New Roman" w:eastAsia="宋体"/>
                      <w:color w:val="000000" w:themeColor="text1"/>
                      <w14:textFill>
                        <w14:solidFill>
                          <w14:schemeClr w14:val="tx1"/>
                        </w14:solidFill>
                      </w14:textFill>
                    </w:rPr>
                    <w:t>00</w:t>
                  </w:r>
                  <w:r>
                    <w:rPr>
                      <w:rFonts w:eastAsia="宋体"/>
                      <w:color w:val="000000" w:themeColor="text1"/>
                      <w:sz w:val="24"/>
                      <w14:textFill>
                        <w14:solidFill>
                          <w14:schemeClr w14:val="tx1"/>
                        </w14:solidFill>
                      </w14:textFill>
                    </w:rPr>
                    <w:t>m</w:t>
                  </w:r>
                  <w:r>
                    <w:rPr>
                      <w:rFonts w:eastAsia="宋体"/>
                      <w:color w:val="000000" w:themeColor="text1"/>
                      <w:sz w:val="24"/>
                      <w:vertAlign w:val="superscript"/>
                      <w14:textFill>
                        <w14:solidFill>
                          <w14:schemeClr w14:val="tx1"/>
                        </w14:solidFill>
                      </w14:textFill>
                    </w:rPr>
                    <w:t>2</w:t>
                  </w:r>
                  <w:r>
                    <w:rPr>
                      <w:rStyle w:val="105"/>
                      <w:rFonts w:ascii="Times New Roman" w:eastAsia="宋体"/>
                      <w:color w:val="000000" w:themeColor="text1"/>
                      <w14:textFill>
                        <w14:solidFill>
                          <w14:schemeClr w14:val="tx1"/>
                        </w14:solidFill>
                      </w14:textFill>
                    </w:rPr>
                    <w:t>，用于存放工具。</w:t>
                  </w:r>
                </w:p>
              </w:tc>
              <w:tc>
                <w:tcPr>
                  <w:tcW w:w="789" w:type="pct"/>
                  <w:vAlign w:val="center"/>
                </w:tcPr>
                <w:p w14:paraId="418A186F">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依托现有厂房</w:t>
                  </w:r>
                </w:p>
              </w:tc>
            </w:tr>
            <w:tr w14:paraId="50D4DA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362" w:type="pct"/>
                  <w:vMerge w:val="continue"/>
                  <w:vAlign w:val="center"/>
                </w:tcPr>
                <w:p w14:paraId="7B9B3200">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4832D28D">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车库</w:t>
                  </w:r>
                </w:p>
              </w:tc>
              <w:tc>
                <w:tcPr>
                  <w:tcW w:w="3409" w:type="pct"/>
                  <w:vAlign w:val="center"/>
                </w:tcPr>
                <w:p w14:paraId="0E583652">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1层，高10米，总</w:t>
                  </w:r>
                  <w:r>
                    <w:rPr>
                      <w:rStyle w:val="105"/>
                      <w:rFonts w:ascii="Times New Roman" w:eastAsia="宋体"/>
                      <w:color w:val="000000" w:themeColor="text1"/>
                      <w14:textFill>
                        <w14:solidFill>
                          <w14:schemeClr w14:val="tx1"/>
                        </w14:solidFill>
                      </w14:textFill>
                    </w:rPr>
                    <w:t>建筑面积250</w:t>
                  </w:r>
                  <w:r>
                    <w:rPr>
                      <w:rFonts w:eastAsia="宋体"/>
                      <w:color w:val="000000" w:themeColor="text1"/>
                      <w:sz w:val="24"/>
                      <w14:textFill>
                        <w14:solidFill>
                          <w14:schemeClr w14:val="tx1"/>
                        </w14:solidFill>
                      </w14:textFill>
                    </w:rPr>
                    <w:t>m</w:t>
                  </w:r>
                  <w:r>
                    <w:rPr>
                      <w:rFonts w:eastAsia="宋体"/>
                      <w:color w:val="000000" w:themeColor="text1"/>
                      <w:sz w:val="24"/>
                      <w:vertAlign w:val="superscript"/>
                      <w14:textFill>
                        <w14:solidFill>
                          <w14:schemeClr w14:val="tx1"/>
                        </w14:solidFill>
                      </w14:textFill>
                    </w:rPr>
                    <w:t>2</w:t>
                  </w:r>
                  <w:r>
                    <w:rPr>
                      <w:rStyle w:val="105"/>
                      <w:rFonts w:ascii="Times New Roman" w:eastAsia="宋体"/>
                      <w:color w:val="000000" w:themeColor="text1"/>
                      <w14:textFill>
                        <w14:solidFill>
                          <w14:schemeClr w14:val="tx1"/>
                        </w14:solidFill>
                      </w14:textFill>
                    </w:rPr>
                    <w:t>，用于停放车辆。</w:t>
                  </w:r>
                </w:p>
              </w:tc>
              <w:tc>
                <w:tcPr>
                  <w:tcW w:w="789" w:type="pct"/>
                  <w:vAlign w:val="center"/>
                </w:tcPr>
                <w:p w14:paraId="298D6466">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依托现有厂房</w:t>
                  </w:r>
                </w:p>
              </w:tc>
            </w:tr>
            <w:tr w14:paraId="7765B6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restart"/>
                  <w:vAlign w:val="center"/>
                </w:tcPr>
                <w:p w14:paraId="14C08C8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公用</w:t>
                  </w:r>
                </w:p>
                <w:p w14:paraId="5C5E09DC">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tc>
              <w:tc>
                <w:tcPr>
                  <w:tcW w:w="439" w:type="pct"/>
                  <w:vAlign w:val="center"/>
                </w:tcPr>
                <w:p w14:paraId="5CAE1EA9">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供水</w:t>
                  </w:r>
                </w:p>
              </w:tc>
              <w:tc>
                <w:tcPr>
                  <w:tcW w:w="3409" w:type="pct"/>
                  <w:vAlign w:val="center"/>
                </w:tcPr>
                <w:p w14:paraId="5FCA526B">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本项目生产不用水，职工生活用水外购桶装水。</w:t>
                  </w:r>
                </w:p>
              </w:tc>
              <w:tc>
                <w:tcPr>
                  <w:tcW w:w="789" w:type="pct"/>
                  <w:vAlign w:val="center"/>
                </w:tcPr>
                <w:p w14:paraId="2012DBDA">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w:t>
                  </w:r>
                </w:p>
              </w:tc>
            </w:tr>
            <w:tr w14:paraId="6DC87F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2D8BEDDB">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04201D70">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排水</w:t>
                  </w:r>
                </w:p>
              </w:tc>
              <w:tc>
                <w:tcPr>
                  <w:tcW w:w="3409" w:type="pct"/>
                  <w:vAlign w:val="center"/>
                </w:tcPr>
                <w:p w14:paraId="6532AC4B">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本项目建成后无生产废水排放。生活污水排入防渗旱厕，定期清掏。</w:t>
                  </w:r>
                </w:p>
              </w:tc>
              <w:tc>
                <w:tcPr>
                  <w:tcW w:w="789" w:type="pct"/>
                  <w:vAlign w:val="center"/>
                </w:tcPr>
                <w:p w14:paraId="4D7FDE26">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新建</w:t>
                  </w:r>
                </w:p>
              </w:tc>
            </w:tr>
            <w:tr w14:paraId="36DFB2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08FE679E">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1E097E35">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供暖</w:t>
                  </w:r>
                </w:p>
              </w:tc>
              <w:tc>
                <w:tcPr>
                  <w:tcW w:w="3409" w:type="pct"/>
                  <w:vAlign w:val="center"/>
                </w:tcPr>
                <w:p w14:paraId="0D780C01">
                  <w:pPr>
                    <w:adjustRightInd w:val="0"/>
                    <w:snapToGrid w:val="0"/>
                    <w:rPr>
                      <w:rFonts w:hint="eastAsia" w:eastAsia="宋体"/>
                      <w:color w:val="000000" w:themeColor="text1"/>
                      <w:sz w:val="24"/>
                      <w:lang w:eastAsia="zh-CN"/>
                      <w14:textFill>
                        <w14:solidFill>
                          <w14:schemeClr w14:val="tx1"/>
                        </w14:solidFill>
                      </w14:textFill>
                    </w:rPr>
                  </w:pPr>
                  <w:r>
                    <w:rPr>
                      <w:rFonts w:eastAsia="宋体"/>
                      <w:color w:val="000000" w:themeColor="text1"/>
                      <w:sz w:val="24"/>
                      <w14:textFill>
                        <w14:solidFill>
                          <w14:schemeClr w14:val="tx1"/>
                        </w14:solidFill>
                      </w14:textFill>
                    </w:rPr>
                    <w:t>本项目冬季</w:t>
                  </w:r>
                  <w:r>
                    <w:rPr>
                      <w:rFonts w:hint="eastAsia" w:eastAsia="宋体"/>
                      <w:color w:val="000000" w:themeColor="text1"/>
                      <w:sz w:val="24"/>
                      <w14:textFill>
                        <w14:solidFill>
                          <w14:schemeClr w14:val="tx1"/>
                        </w14:solidFill>
                      </w14:textFill>
                    </w:rPr>
                    <w:t>门卫室</w:t>
                  </w:r>
                  <w:r>
                    <w:rPr>
                      <w:rFonts w:hint="eastAsia" w:eastAsia="宋体"/>
                      <w:color w:val="000000" w:themeColor="text1"/>
                      <w:sz w:val="24"/>
                      <w:lang w:val="en-US" w:eastAsia="zh-CN"/>
                      <w14:textFill>
                        <w14:solidFill>
                          <w14:schemeClr w14:val="tx1"/>
                        </w14:solidFill>
                      </w14:textFill>
                    </w:rPr>
                    <w:t>供暖采用</w:t>
                  </w:r>
                  <w:r>
                    <w:rPr>
                      <w:rFonts w:hint="eastAsia" w:eastAsia="宋体"/>
                      <w:color w:val="000000" w:themeColor="text1"/>
                      <w:sz w:val="24"/>
                      <w:lang w:eastAsia="zh-CN"/>
                      <w14:textFill>
                        <w14:solidFill>
                          <w14:schemeClr w14:val="tx1"/>
                        </w14:solidFill>
                      </w14:textFill>
                    </w:rPr>
                    <w:t>电采暖。</w:t>
                  </w:r>
                </w:p>
              </w:tc>
              <w:tc>
                <w:tcPr>
                  <w:tcW w:w="789" w:type="pct"/>
                  <w:vAlign w:val="center"/>
                </w:tcPr>
                <w:p w14:paraId="0B588601">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r w14:paraId="6D76B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4E32C99A">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609B97A0">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供电</w:t>
                  </w:r>
                </w:p>
              </w:tc>
              <w:tc>
                <w:tcPr>
                  <w:tcW w:w="3409" w:type="pct"/>
                  <w:vAlign w:val="center"/>
                </w:tcPr>
                <w:p w14:paraId="4A170250">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项目用电由当地供电所提供，能够满足本项目用电。</w:t>
                  </w:r>
                </w:p>
              </w:tc>
              <w:tc>
                <w:tcPr>
                  <w:tcW w:w="789" w:type="pct"/>
                  <w:vAlign w:val="center"/>
                </w:tcPr>
                <w:p w14:paraId="328CECA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w:t>
                  </w:r>
                </w:p>
              </w:tc>
            </w:tr>
            <w:tr w14:paraId="430C04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4473E676">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397DC655">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废气</w:t>
                  </w:r>
                </w:p>
              </w:tc>
              <w:tc>
                <w:tcPr>
                  <w:tcW w:w="3409" w:type="pct"/>
                  <w:vAlign w:val="center"/>
                </w:tcPr>
                <w:p w14:paraId="0B728BC3">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车间在粉碎、进料口、筛分、包装工序产生的粉尘，通过集气罩收集，经管道输送至布袋除尘器处理后，通过15米排气筒（DA001）排放。车间厂房保持密闭，确保厂界颗粒物排放符合《大气污染物综合排放标准》（GB16297-1996）表2中的无组织排放标准。</w:t>
                  </w:r>
                </w:p>
              </w:tc>
              <w:tc>
                <w:tcPr>
                  <w:tcW w:w="789" w:type="pct"/>
                  <w:vAlign w:val="center"/>
                </w:tcPr>
                <w:p w14:paraId="03D82521">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新建</w:t>
                  </w:r>
                </w:p>
              </w:tc>
            </w:tr>
            <w:tr w14:paraId="12614B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682CCACF">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6F4007A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废水防治措施</w:t>
                  </w:r>
                </w:p>
              </w:tc>
              <w:tc>
                <w:tcPr>
                  <w:tcW w:w="3409" w:type="pct"/>
                  <w:vAlign w:val="center"/>
                </w:tcPr>
                <w:p w14:paraId="14F59F19">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本项目建成后无生产废水排放。生活污水排入防渗旱厕，定期清掏。</w:t>
                  </w:r>
                </w:p>
              </w:tc>
              <w:tc>
                <w:tcPr>
                  <w:tcW w:w="789" w:type="pct"/>
                  <w:vAlign w:val="center"/>
                </w:tcPr>
                <w:p w14:paraId="2609F0EC">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新建</w:t>
                  </w:r>
                </w:p>
              </w:tc>
            </w:tr>
            <w:tr w14:paraId="7EF37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61251D96">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0A80936C">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噪声防治措施</w:t>
                  </w:r>
                </w:p>
              </w:tc>
              <w:tc>
                <w:tcPr>
                  <w:tcW w:w="3409" w:type="pct"/>
                  <w:vAlign w:val="center"/>
                </w:tcPr>
                <w:p w14:paraId="6ADDE6CA">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本项目建成后，选用低噪声设备，通过减振、隔声、降噪、加强管理和设备合理布局等措施，厂界噪声满足《工业企业厂界环境噪声排放标准》（GB12348-2008）中2类标准要求。</w:t>
                  </w:r>
                </w:p>
              </w:tc>
              <w:tc>
                <w:tcPr>
                  <w:tcW w:w="789" w:type="pct"/>
                  <w:vAlign w:val="center"/>
                </w:tcPr>
                <w:p w14:paraId="05CA6052">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r w14:paraId="13CC48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40F1A4AD">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7258C6FD">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固体</w:t>
                  </w:r>
                </w:p>
                <w:p w14:paraId="4DA13560">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废物防治措施</w:t>
                  </w:r>
                </w:p>
              </w:tc>
              <w:tc>
                <w:tcPr>
                  <w:tcW w:w="3409" w:type="pct"/>
                  <w:vAlign w:val="center"/>
                </w:tcPr>
                <w:p w14:paraId="21C17465">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①布袋除尘器收集的粉尘集中收集后回用于生产。</w:t>
                  </w:r>
                </w:p>
                <w:p w14:paraId="55909F8B">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②原料废包装袋统一收集后外售综合利用。</w:t>
                  </w:r>
                </w:p>
                <w:p w14:paraId="6704F065">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③废布袋集中收集，厂家定期回收。</w:t>
                  </w:r>
                </w:p>
                <w:p w14:paraId="235ECC46">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④生活垃圾集中收集，由市政部门统一清运。</w:t>
                  </w:r>
                </w:p>
                <w:p w14:paraId="3D5EB07C">
                  <w:pPr>
                    <w:widowControl/>
                    <w:jc w:val="left"/>
                    <w:rPr>
                      <w:rFonts w:eastAsia="宋体"/>
                      <w:color w:val="000000" w:themeColor="text1"/>
                      <w:sz w:val="24"/>
                      <w14:textFill>
                        <w14:solidFill>
                          <w14:schemeClr w14:val="tx1"/>
                        </w14:solidFill>
                      </w14:textFill>
                    </w:rPr>
                  </w:pPr>
                </w:p>
              </w:tc>
              <w:tc>
                <w:tcPr>
                  <w:tcW w:w="789" w:type="pct"/>
                  <w:vAlign w:val="center"/>
                </w:tcPr>
                <w:p w14:paraId="0637FB4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bookmarkEnd w:id="21"/>
          </w:tbl>
          <w:p w14:paraId="56866750">
            <w:pPr>
              <w:adjustRightInd w:val="0"/>
              <w:snapToGrid w:val="0"/>
              <w:spacing w:line="500" w:lineRule="exact"/>
              <w:ind w:firstLine="482" w:firstLineChars="200"/>
              <w:rPr>
                <w:rFonts w:eastAsia="宋体"/>
                <w:b/>
                <w:color w:val="000000" w:themeColor="text1"/>
                <w:sz w:val="24"/>
                <w14:textFill>
                  <w14:solidFill>
                    <w14:schemeClr w14:val="tx1"/>
                  </w14:solidFill>
                </w14:textFill>
              </w:rPr>
            </w:pPr>
            <w:bookmarkStart w:id="22" w:name="_Hlk84352653"/>
            <w:r>
              <w:rPr>
                <w:rFonts w:eastAsia="宋体"/>
                <w:b/>
                <w:color w:val="000000" w:themeColor="text1"/>
                <w:sz w:val="24"/>
                <w14:textFill>
                  <w14:solidFill>
                    <w14:schemeClr w14:val="tx1"/>
                  </w14:solidFill>
                </w14:textFill>
              </w:rPr>
              <w:t>3、主要原辅材料</w:t>
            </w:r>
          </w:p>
          <w:p w14:paraId="12505F45">
            <w:pPr>
              <w:adjustRightInd w:val="0"/>
              <w:snapToGrid w:val="0"/>
              <w:spacing w:line="500" w:lineRule="exact"/>
              <w:ind w:firstLine="480" w:firstLineChars="200"/>
              <w:rPr>
                <w:rFonts w:eastAsia="宋体"/>
                <w:b/>
                <w:color w:val="000000" w:themeColor="text1"/>
                <w:sz w:val="24"/>
                <w14:textFill>
                  <w14:solidFill>
                    <w14:schemeClr w14:val="tx1"/>
                  </w14:solidFill>
                </w14:textFill>
              </w:rPr>
            </w:pPr>
            <w:bookmarkStart w:id="23" w:name="_Hlk84530690"/>
            <w:r>
              <w:rPr>
                <w:rFonts w:eastAsia="宋体"/>
                <w:color w:val="000000" w:themeColor="text1"/>
                <w:sz w:val="24"/>
                <w14:textFill>
                  <w14:solidFill>
                    <w14:schemeClr w14:val="tx1"/>
                  </w14:solidFill>
                </w14:textFill>
              </w:rPr>
              <w:t>本项目主要原辅材料一览表详见表2-2</w:t>
            </w:r>
            <w:r>
              <w:rPr>
                <w:rFonts w:eastAsia="宋体"/>
                <w:snapToGrid w:val="0"/>
                <w:color w:val="000000" w:themeColor="text1"/>
                <w:kern w:val="0"/>
                <w:sz w:val="24"/>
                <w14:textFill>
                  <w14:solidFill>
                    <w14:schemeClr w14:val="tx1"/>
                  </w14:solidFill>
                </w14:textFill>
              </w:rPr>
              <w:t>。</w:t>
            </w:r>
          </w:p>
          <w:p w14:paraId="0686B22E">
            <w:pPr>
              <w:spacing w:line="480" w:lineRule="exact"/>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表 2-2主要原辅材料一览表</w:t>
            </w:r>
          </w:p>
          <w:tbl>
            <w:tblPr>
              <w:tblStyle w:val="33"/>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30" w:type="dxa"/>
                <w:bottom w:w="0" w:type="dxa"/>
                <w:right w:w="30" w:type="dxa"/>
              </w:tblCellMar>
            </w:tblPr>
            <w:tblGrid>
              <w:gridCol w:w="805"/>
              <w:gridCol w:w="2189"/>
              <w:gridCol w:w="1016"/>
              <w:gridCol w:w="1405"/>
              <w:gridCol w:w="1748"/>
            </w:tblGrid>
            <w:tr w14:paraId="22248B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30" w:type="dxa"/>
                  <w:bottom w:w="0" w:type="dxa"/>
                  <w:right w:w="30" w:type="dxa"/>
                </w:tblCellMar>
              </w:tblPrEx>
              <w:trPr>
                <w:cantSplit/>
                <w:trHeight w:val="20" w:hRule="atLeast"/>
                <w:jc w:val="center"/>
              </w:trPr>
              <w:tc>
                <w:tcPr>
                  <w:tcW w:w="561" w:type="pct"/>
                  <w:vAlign w:val="center"/>
                </w:tcPr>
                <w:p w14:paraId="28FB7D40">
                  <w:pPr>
                    <w:adjustRightInd w:val="0"/>
                    <w:snapToGrid w:val="0"/>
                    <w:jc w:val="center"/>
                    <w:rPr>
                      <w:rFonts w:eastAsia="宋体"/>
                      <w:bCs/>
                      <w:snapToGrid w:val="0"/>
                      <w:color w:val="000000" w:themeColor="text1"/>
                      <w:sz w:val="24"/>
                      <w14:textFill>
                        <w14:solidFill>
                          <w14:schemeClr w14:val="tx1"/>
                        </w14:solidFill>
                      </w14:textFill>
                    </w:rPr>
                  </w:pPr>
                  <w:r>
                    <w:rPr>
                      <w:rFonts w:eastAsia="宋体"/>
                      <w:bCs/>
                      <w:snapToGrid w:val="0"/>
                      <w:color w:val="000000" w:themeColor="text1"/>
                      <w:sz w:val="24"/>
                      <w14:textFill>
                        <w14:solidFill>
                          <w14:schemeClr w14:val="tx1"/>
                        </w14:solidFill>
                      </w14:textFill>
                    </w:rPr>
                    <w:t>序号</w:t>
                  </w:r>
                </w:p>
              </w:tc>
              <w:tc>
                <w:tcPr>
                  <w:tcW w:w="1527" w:type="pct"/>
                  <w:vAlign w:val="center"/>
                </w:tcPr>
                <w:p w14:paraId="2802353F">
                  <w:pPr>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名称</w:t>
                  </w:r>
                </w:p>
              </w:tc>
              <w:tc>
                <w:tcPr>
                  <w:tcW w:w="709" w:type="pct"/>
                  <w:vAlign w:val="center"/>
                </w:tcPr>
                <w:p w14:paraId="08A77B92">
                  <w:pPr>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单位</w:t>
                  </w:r>
                </w:p>
              </w:tc>
              <w:tc>
                <w:tcPr>
                  <w:tcW w:w="981" w:type="pct"/>
                  <w:vAlign w:val="center"/>
                </w:tcPr>
                <w:p w14:paraId="5A35FE9C">
                  <w:pPr>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年用量</w:t>
                  </w:r>
                </w:p>
              </w:tc>
              <w:tc>
                <w:tcPr>
                  <w:tcW w:w="1220" w:type="pct"/>
                  <w:vAlign w:val="center"/>
                </w:tcPr>
                <w:p w14:paraId="38BB73CE">
                  <w:pPr>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备注</w:t>
                  </w:r>
                </w:p>
              </w:tc>
            </w:tr>
            <w:tr w14:paraId="4B5472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30" w:type="dxa"/>
                  <w:bottom w:w="0" w:type="dxa"/>
                  <w:right w:w="30" w:type="dxa"/>
                </w:tblCellMar>
              </w:tblPrEx>
              <w:trPr>
                <w:cantSplit/>
                <w:trHeight w:val="434" w:hRule="atLeast"/>
                <w:jc w:val="center"/>
              </w:trPr>
              <w:tc>
                <w:tcPr>
                  <w:tcW w:w="561" w:type="pct"/>
                  <w:vAlign w:val="center"/>
                </w:tcPr>
                <w:p w14:paraId="469E71C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w:t>
                  </w:r>
                </w:p>
              </w:tc>
              <w:tc>
                <w:tcPr>
                  <w:tcW w:w="1527" w:type="pct"/>
                  <w:vAlign w:val="center"/>
                </w:tcPr>
                <w:p w14:paraId="03BDD7E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硫酸铵</w:t>
                  </w:r>
                </w:p>
              </w:tc>
              <w:tc>
                <w:tcPr>
                  <w:tcW w:w="709" w:type="pct"/>
                  <w:vAlign w:val="center"/>
                </w:tcPr>
                <w:p w14:paraId="6C805D0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t/a</w:t>
                  </w:r>
                </w:p>
              </w:tc>
              <w:tc>
                <w:tcPr>
                  <w:tcW w:w="981" w:type="pct"/>
                  <w:vAlign w:val="center"/>
                </w:tcPr>
                <w:p w14:paraId="4EB4C56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2000.318</w:t>
                  </w:r>
                </w:p>
              </w:tc>
              <w:tc>
                <w:tcPr>
                  <w:tcW w:w="1220" w:type="pct"/>
                  <w:vAlign w:val="center"/>
                </w:tcPr>
                <w:p w14:paraId="35E4C78F">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外购，颗粒状袋装存储。</w:t>
                  </w:r>
                </w:p>
              </w:tc>
            </w:tr>
            <w:bookmarkEnd w:id="23"/>
          </w:tbl>
          <w:p w14:paraId="48073D57">
            <w:pPr>
              <w:jc w:val="center"/>
              <w:rPr>
                <w:rFonts w:eastAsia="宋体"/>
                <w:b/>
                <w:bCs/>
                <w:color w:val="000000" w:themeColor="text1"/>
                <w:sz w:val="24"/>
                <w:szCs w:val="32"/>
                <w14:textFill>
                  <w14:solidFill>
                    <w14:schemeClr w14:val="tx1"/>
                  </w14:solidFill>
                </w14:textFill>
              </w:rPr>
            </w:pPr>
          </w:p>
          <w:p w14:paraId="7AE2D587">
            <w:pPr>
              <w:jc w:val="center"/>
              <w:rPr>
                <w:rFonts w:eastAsia="宋体"/>
                <w:b/>
                <w:bCs/>
                <w:color w:val="000000" w:themeColor="text1"/>
                <w:sz w:val="24"/>
                <w:szCs w:val="32"/>
                <w14:textFill>
                  <w14:solidFill>
                    <w14:schemeClr w14:val="tx1"/>
                  </w14:solidFill>
                </w14:textFill>
              </w:rPr>
            </w:pPr>
            <w:r>
              <w:rPr>
                <w:rFonts w:eastAsia="宋体"/>
                <w:b/>
                <w:bCs/>
                <w:color w:val="000000" w:themeColor="text1"/>
                <w:sz w:val="24"/>
                <w:szCs w:val="32"/>
                <w14:textFill>
                  <w14:solidFill>
                    <w14:schemeClr w14:val="tx1"/>
                  </w14:solidFill>
                </w14:textFill>
              </w:rPr>
              <w:t>表 2-3主要原辅材料理化性质一览表</w:t>
            </w:r>
          </w:p>
          <w:tbl>
            <w:tblPr>
              <w:tblStyle w:val="171"/>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5"/>
              <w:gridCol w:w="6402"/>
            </w:tblGrid>
            <w:tr w14:paraId="1FC77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528" w:type="pct"/>
                  <w:tcBorders>
                    <w:top w:val="single" w:color="000000" w:sz="10" w:space="0"/>
                    <w:left w:val="nil"/>
                  </w:tcBorders>
                </w:tcPr>
                <w:p w14:paraId="4360001D">
                  <w:pPr>
                    <w:pStyle w:val="170"/>
                    <w:spacing w:before="203" w:line="212" w:lineRule="auto"/>
                    <w:jc w:val="center"/>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名称</w:t>
                  </w:r>
                </w:p>
              </w:tc>
              <w:tc>
                <w:tcPr>
                  <w:tcW w:w="4471" w:type="pct"/>
                  <w:tcBorders>
                    <w:top w:val="single" w:color="000000" w:sz="10" w:space="0"/>
                    <w:right w:val="nil"/>
                  </w:tcBorders>
                </w:tcPr>
                <w:p w14:paraId="575DCE60">
                  <w:pPr>
                    <w:pStyle w:val="170"/>
                    <w:spacing w:before="170" w:line="221" w:lineRule="auto"/>
                    <w:ind w:left="3441"/>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2"/>
                      <w:sz w:val="24"/>
                      <w:szCs w:val="24"/>
                      <w14:textFill>
                        <w14:solidFill>
                          <w14:schemeClr w14:val="tx1"/>
                        </w14:solidFill>
                      </w14:textFill>
                    </w:rPr>
                    <w:t>理化性质</w:t>
                  </w:r>
                </w:p>
              </w:tc>
            </w:tr>
            <w:tr w14:paraId="6C1D7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528" w:type="pct"/>
                  <w:tcBorders>
                    <w:left w:val="nil"/>
                  </w:tcBorders>
                  <w:vAlign w:val="center"/>
                </w:tcPr>
                <w:p w14:paraId="52A3163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硫酸铵</w:t>
                  </w:r>
                </w:p>
              </w:tc>
              <w:tc>
                <w:tcPr>
                  <w:tcW w:w="4471" w:type="pct"/>
                  <w:tcBorders>
                    <w:right w:val="nil"/>
                  </w:tcBorders>
                </w:tcPr>
                <w:p w14:paraId="678E08E7">
                  <w:pPr>
                    <w:pStyle w:val="170"/>
                    <w:spacing w:before="49" w:line="234" w:lineRule="auto"/>
                    <w:ind w:left="114" w:right="102" w:firstLine="27"/>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pacing w:val="-2"/>
                      <w:sz w:val="24"/>
                      <w:szCs w:val="24"/>
                      <w:lang w:eastAsia="zh-CN"/>
                      <w14:textFill>
                        <w14:solidFill>
                          <w14:schemeClr w14:val="tx1"/>
                        </w14:solidFill>
                      </w14:textFill>
                    </w:rPr>
                    <w:t>化学式为(NH</w:t>
                  </w:r>
                  <w:r>
                    <w:rPr>
                      <w:rFonts w:ascii="Times New Roman" w:hAnsi="Times New Roman" w:cs="Times New Roman"/>
                      <w:color w:val="000000" w:themeColor="text1"/>
                      <w:spacing w:val="-2"/>
                      <w:position w:val="-1"/>
                      <w:sz w:val="24"/>
                      <w:szCs w:val="24"/>
                      <w:vertAlign w:val="subscript"/>
                      <w:lang w:eastAsia="zh-CN"/>
                      <w14:textFill>
                        <w14:solidFill>
                          <w14:schemeClr w14:val="tx1"/>
                        </w14:solidFill>
                      </w14:textFill>
                    </w:rPr>
                    <w:t>4</w:t>
                  </w:r>
                  <w:r>
                    <w:rPr>
                      <w:rFonts w:ascii="Times New Roman" w:hAnsi="Times New Roman" w:cs="Times New Roman"/>
                      <w:color w:val="000000" w:themeColor="text1"/>
                      <w:spacing w:val="-2"/>
                      <w:sz w:val="24"/>
                      <w:szCs w:val="24"/>
                      <w:lang w:eastAsia="zh-CN"/>
                      <w14:textFill>
                        <w14:solidFill>
                          <w14:schemeClr w14:val="tx1"/>
                        </w14:solidFill>
                      </w14:textFill>
                    </w:rPr>
                    <w:t>)</w:t>
                  </w:r>
                  <w:r>
                    <w:rPr>
                      <w:rFonts w:ascii="Times New Roman" w:hAnsi="Times New Roman" w:cs="Times New Roman"/>
                      <w:color w:val="000000" w:themeColor="text1"/>
                      <w:spacing w:val="-2"/>
                      <w:position w:val="-1"/>
                      <w:sz w:val="24"/>
                      <w:szCs w:val="24"/>
                      <w:vertAlign w:val="subscript"/>
                      <w:lang w:eastAsia="zh-CN"/>
                      <w14:textFill>
                        <w14:solidFill>
                          <w14:schemeClr w14:val="tx1"/>
                        </w14:solidFill>
                      </w14:textFill>
                    </w:rPr>
                    <w:t>2</w:t>
                  </w:r>
                  <w:r>
                    <w:rPr>
                      <w:rFonts w:ascii="Times New Roman" w:hAnsi="Times New Roman" w:cs="Times New Roman"/>
                      <w:color w:val="000000" w:themeColor="text1"/>
                      <w:spacing w:val="-2"/>
                      <w:sz w:val="24"/>
                      <w:szCs w:val="24"/>
                      <w:lang w:eastAsia="zh-CN"/>
                      <w14:textFill>
                        <w14:solidFill>
                          <w14:schemeClr w14:val="tx1"/>
                        </w14:solidFill>
                      </w14:textFill>
                    </w:rPr>
                    <w:t>SO</w:t>
                  </w:r>
                  <w:r>
                    <w:rPr>
                      <w:rFonts w:ascii="Times New Roman" w:hAnsi="Times New Roman" w:cs="Times New Roman"/>
                      <w:color w:val="000000" w:themeColor="text1"/>
                      <w:spacing w:val="-2"/>
                      <w:position w:val="-1"/>
                      <w:sz w:val="24"/>
                      <w:szCs w:val="24"/>
                      <w:vertAlign w:val="subscript"/>
                      <w:lang w:eastAsia="zh-CN"/>
                      <w14:textFill>
                        <w14:solidFill>
                          <w14:schemeClr w14:val="tx1"/>
                        </w14:solidFill>
                      </w14:textFill>
                    </w:rPr>
                    <w:t>4</w:t>
                  </w:r>
                  <w:r>
                    <w:rPr>
                      <w:rFonts w:ascii="Times New Roman" w:hAnsi="Times New Roman" w:cs="Times New Roman"/>
                      <w:color w:val="000000" w:themeColor="text1"/>
                      <w:spacing w:val="-7"/>
                      <w:position w:val="-1"/>
                      <w:sz w:val="24"/>
                      <w:szCs w:val="24"/>
                      <w:lang w:eastAsia="zh-CN"/>
                      <w14:textFill>
                        <w14:solidFill>
                          <w14:schemeClr w14:val="tx1"/>
                        </w14:solidFill>
                      </w14:textFill>
                    </w:rPr>
                    <w:t xml:space="preserve"> </w:t>
                  </w:r>
                  <w:r>
                    <w:rPr>
                      <w:rFonts w:ascii="Times New Roman" w:hAnsi="Times New Roman" w:cs="Times New Roman"/>
                      <w:color w:val="000000" w:themeColor="text1"/>
                      <w:spacing w:val="-2"/>
                      <w:sz w:val="24"/>
                      <w:szCs w:val="24"/>
                      <w:lang w:eastAsia="zh-CN"/>
                      <w14:textFill>
                        <w14:solidFill>
                          <w14:schemeClr w14:val="tx1"/>
                        </w14:solidFill>
                      </w14:textFill>
                    </w:rPr>
                    <w:t>，无色结晶或白色</w:t>
                  </w:r>
                  <w:r>
                    <w:rPr>
                      <w:rFonts w:ascii="Times New Roman" w:hAnsi="Times New Roman" w:cs="Times New Roman"/>
                      <w:color w:val="000000" w:themeColor="text1"/>
                      <w:spacing w:val="-3"/>
                      <w:sz w:val="24"/>
                      <w:szCs w:val="24"/>
                      <w:lang w:eastAsia="zh-CN"/>
                      <w14:textFill>
                        <w14:solidFill>
                          <w14:schemeClr w14:val="tx1"/>
                        </w14:solidFill>
                      </w14:textFill>
                    </w:rPr>
                    <w:t>颗粒，无气味。白色结晶性粉末，</w:t>
                  </w:r>
                  <w:r>
                    <w:rPr>
                      <w:rFonts w:ascii="Times New Roman" w:hAnsi="Times New Roman" w:cs="Times New Roman"/>
                      <w:color w:val="000000" w:themeColor="text1"/>
                      <w:spacing w:val="-20"/>
                      <w:sz w:val="24"/>
                      <w:szCs w:val="24"/>
                      <w:lang w:eastAsia="zh-CN"/>
                      <w14:textFill>
                        <w14:solidFill>
                          <w14:schemeClr w14:val="tx1"/>
                        </w14:solidFill>
                      </w14:textFill>
                    </w:rPr>
                    <w:t xml:space="preserve"> </w:t>
                  </w:r>
                  <w:r>
                    <w:rPr>
                      <w:rFonts w:ascii="Times New Roman" w:hAnsi="Times New Roman" w:cs="Times New Roman"/>
                      <w:color w:val="000000" w:themeColor="text1"/>
                      <w:spacing w:val="-3"/>
                      <w:sz w:val="24"/>
                      <w:szCs w:val="24"/>
                      <w:lang w:eastAsia="zh-CN"/>
                      <w14:textFill>
                        <w14:solidFill>
                          <w14:schemeClr w14:val="tx1"/>
                        </w14:solidFill>
                      </w14:textFill>
                    </w:rPr>
                    <w:t>水溶液呈</w:t>
                  </w:r>
                  <w:r>
                    <w:rPr>
                      <w:rFonts w:ascii="Times New Roman" w:hAnsi="Times New Roman" w:cs="Times New Roman"/>
                      <w:color w:val="000000" w:themeColor="text1"/>
                      <w:spacing w:val="-4"/>
                      <w:sz w:val="24"/>
                      <w:szCs w:val="24"/>
                      <w:lang w:eastAsia="zh-CN"/>
                      <w14:textFill>
                        <w14:solidFill>
                          <w14:schemeClr w14:val="tx1"/>
                        </w14:solidFill>
                      </w14:textFill>
                    </w:rPr>
                    <w:t>酸性。不溶于醇、丙酮和氨水。有吸湿性，吸湿后固结成块。加热到513℃以上完</w:t>
                  </w:r>
                  <w:r>
                    <w:rPr>
                      <w:rFonts w:ascii="Times New Roman" w:hAnsi="Times New Roman" w:cs="Times New Roman"/>
                      <w:color w:val="000000" w:themeColor="text1"/>
                      <w:spacing w:val="-2"/>
                      <w:sz w:val="24"/>
                      <w:szCs w:val="24"/>
                      <w:lang w:eastAsia="zh-CN"/>
                      <w14:textFill>
                        <w14:solidFill>
                          <w14:schemeClr w14:val="tx1"/>
                        </w14:solidFill>
                      </w14:textFill>
                    </w:rPr>
                    <w:t>全分解成氨气、氮气、二氧化硫及水。与碱类作用则放出氨气。与氯化钡</w:t>
                  </w:r>
                  <w:r>
                    <w:rPr>
                      <w:rFonts w:ascii="Times New Roman" w:hAnsi="Times New Roman" w:cs="Times New Roman"/>
                      <w:color w:val="000000" w:themeColor="text1"/>
                      <w:spacing w:val="-3"/>
                      <w:sz w:val="24"/>
                      <w:szCs w:val="24"/>
                      <w:lang w:eastAsia="zh-CN"/>
                      <w14:textFill>
                        <w14:solidFill>
                          <w14:schemeClr w14:val="tx1"/>
                        </w14:solidFill>
                      </w14:textFill>
                    </w:rPr>
                    <w:t>溶液反应</w:t>
                  </w:r>
                  <w:r>
                    <w:rPr>
                      <w:rFonts w:ascii="Times New Roman" w:hAnsi="Times New Roman" w:cs="Times New Roman"/>
                      <w:color w:val="000000" w:themeColor="text1"/>
                      <w:spacing w:val="-2"/>
                      <w:sz w:val="24"/>
                      <w:szCs w:val="24"/>
                      <w:lang w:eastAsia="zh-CN"/>
                      <w14:textFill>
                        <w14:solidFill>
                          <w14:schemeClr w14:val="tx1"/>
                        </w14:solidFill>
                      </w14:textFill>
                    </w:rPr>
                    <w:t>生成硫酸钡沉淀。也可以使蛋白质发生盐析。硫酸铵主要用作肥料，适用于</w:t>
                  </w:r>
                  <w:r>
                    <w:rPr>
                      <w:rFonts w:ascii="Times New Roman" w:hAnsi="Times New Roman" w:cs="Times New Roman"/>
                      <w:color w:val="000000" w:themeColor="text1"/>
                      <w:spacing w:val="-3"/>
                      <w:sz w:val="24"/>
                      <w:szCs w:val="24"/>
                      <w:lang w:eastAsia="zh-CN"/>
                      <w14:textFill>
                        <w14:solidFill>
                          <w14:schemeClr w14:val="tx1"/>
                        </w14:solidFill>
                      </w14:textFill>
                    </w:rPr>
                    <w:t>各种土</w:t>
                  </w:r>
                  <w:r>
                    <w:rPr>
                      <w:rFonts w:ascii="Times New Roman" w:hAnsi="Times New Roman" w:cs="Times New Roman"/>
                      <w:color w:val="000000" w:themeColor="text1"/>
                      <w:spacing w:val="-1"/>
                      <w:sz w:val="24"/>
                      <w:szCs w:val="24"/>
                      <w:lang w:eastAsia="zh-CN"/>
                      <w14:textFill>
                        <w14:solidFill>
                          <w14:schemeClr w14:val="tx1"/>
                        </w14:solidFill>
                      </w14:textFill>
                    </w:rPr>
                    <w:t>壤和作物。还可用于纺织、皮革、医药等方面。</w:t>
                  </w:r>
                </w:p>
              </w:tc>
            </w:tr>
          </w:tbl>
          <w:p w14:paraId="56A6CA2F">
            <w:pPr>
              <w:pStyle w:val="39"/>
              <w:jc w:val="both"/>
              <w:rPr>
                <w:rFonts w:eastAsia="宋体"/>
                <w:color w:val="000000" w:themeColor="text1"/>
                <w14:textFill>
                  <w14:solidFill>
                    <w14:schemeClr w14:val="tx1"/>
                  </w14:solidFill>
                </w14:textFill>
              </w:rPr>
            </w:pPr>
          </w:p>
          <w:p w14:paraId="5D7BDC24">
            <w:pPr>
              <w:adjustRightInd w:val="0"/>
              <w:snapToGrid w:val="0"/>
              <w:spacing w:line="500" w:lineRule="exact"/>
              <w:ind w:firstLine="482" w:firstLineChars="200"/>
              <w:rPr>
                <w:rFonts w:eastAsia="宋体"/>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4、主要产品方案</w:t>
            </w:r>
          </w:p>
          <w:p w14:paraId="2157786D">
            <w:pPr>
              <w:adjustRightInd w:val="0"/>
              <w:snapToGrid w:val="0"/>
              <w:spacing w:line="500" w:lineRule="exact"/>
              <w:ind w:firstLine="480" w:firstLineChars="200"/>
              <w:rPr>
                <w:rFonts w:eastAsia="宋体"/>
                <w:b/>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主要产品方案表见表2-4。</w:t>
            </w:r>
          </w:p>
          <w:p w14:paraId="6A0F21C4">
            <w:pPr>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表2-4主要产品方案表</w:t>
            </w:r>
          </w:p>
          <w:tbl>
            <w:tblPr>
              <w:tblStyle w:val="3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3"/>
              <w:gridCol w:w="3088"/>
              <w:gridCol w:w="981"/>
              <w:gridCol w:w="1264"/>
              <w:gridCol w:w="1082"/>
            </w:tblGrid>
            <w:tr w14:paraId="558A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13" w:type="pct"/>
                  <w:tcBorders>
                    <w:top w:val="single" w:color="auto" w:sz="12" w:space="0"/>
                    <w:left w:val="nil"/>
                    <w:bottom w:val="single" w:color="auto" w:sz="4" w:space="0"/>
                    <w:right w:val="single" w:color="auto" w:sz="4" w:space="0"/>
                  </w:tcBorders>
                  <w:vAlign w:val="center"/>
                </w:tcPr>
                <w:p w14:paraId="46F247D9">
                  <w:pPr>
                    <w:jc w:val="center"/>
                    <w:rPr>
                      <w:rFonts w:eastAsia="宋体"/>
                      <w:color w:val="000000" w:themeColor="text1"/>
                      <w:sz w:val="24"/>
                      <w14:textFill>
                        <w14:solidFill>
                          <w14:schemeClr w14:val="tx1"/>
                        </w14:solidFill>
                      </w14:textFill>
                    </w:rPr>
                  </w:pPr>
                  <w:bookmarkStart w:id="24" w:name="_Hlk84530751"/>
                  <w:r>
                    <w:rPr>
                      <w:rFonts w:eastAsia="宋体"/>
                      <w:color w:val="000000" w:themeColor="text1"/>
                      <w:sz w:val="24"/>
                      <w:lang w:bidi="ar"/>
                      <w14:textFill>
                        <w14:solidFill>
                          <w14:schemeClr w14:val="tx1"/>
                        </w14:solidFill>
                      </w14:textFill>
                    </w:rPr>
                    <w:t>序号</w:t>
                  </w:r>
                </w:p>
              </w:tc>
              <w:tc>
                <w:tcPr>
                  <w:tcW w:w="2160" w:type="pct"/>
                  <w:tcBorders>
                    <w:top w:val="single" w:color="auto" w:sz="12" w:space="0"/>
                    <w:left w:val="single" w:color="auto" w:sz="4" w:space="0"/>
                    <w:bottom w:val="single" w:color="auto" w:sz="4" w:space="0"/>
                    <w:right w:val="single" w:color="auto" w:sz="4" w:space="0"/>
                  </w:tcBorders>
                  <w:vAlign w:val="center"/>
                </w:tcPr>
                <w:p w14:paraId="54CC16F7">
                  <w:pPr>
                    <w:jc w:val="center"/>
                    <w:rPr>
                      <w:rFonts w:eastAsia="宋体"/>
                      <w:color w:val="000000" w:themeColor="text1"/>
                      <w:sz w:val="24"/>
                      <w:lang w:bidi="ar"/>
                      <w14:textFill>
                        <w14:solidFill>
                          <w14:schemeClr w14:val="tx1"/>
                        </w14:solidFill>
                      </w14:textFill>
                    </w:rPr>
                  </w:pPr>
                  <w:r>
                    <w:rPr>
                      <w:rFonts w:eastAsia="宋体"/>
                      <w:color w:val="000000" w:themeColor="text1"/>
                      <w:sz w:val="24"/>
                      <w:lang w:bidi="ar"/>
                      <w14:textFill>
                        <w14:solidFill>
                          <w14:schemeClr w14:val="tx1"/>
                        </w14:solidFill>
                      </w14:textFill>
                    </w:rPr>
                    <w:t>产品名称</w:t>
                  </w:r>
                </w:p>
              </w:tc>
              <w:tc>
                <w:tcPr>
                  <w:tcW w:w="686" w:type="pct"/>
                  <w:tcBorders>
                    <w:top w:val="single" w:color="auto" w:sz="12" w:space="0"/>
                    <w:left w:val="single" w:color="auto" w:sz="4" w:space="0"/>
                    <w:bottom w:val="single" w:color="auto" w:sz="4" w:space="0"/>
                    <w:right w:val="single" w:color="auto" w:sz="4" w:space="0"/>
                  </w:tcBorders>
                  <w:vAlign w:val="center"/>
                </w:tcPr>
                <w:p w14:paraId="5675622C">
                  <w:pPr>
                    <w:jc w:val="center"/>
                    <w:rPr>
                      <w:rFonts w:eastAsia="宋体"/>
                      <w:color w:val="000000" w:themeColor="text1"/>
                      <w:sz w:val="24"/>
                      <w14:textFill>
                        <w14:solidFill>
                          <w14:schemeClr w14:val="tx1"/>
                        </w14:solidFill>
                      </w14:textFill>
                    </w:rPr>
                  </w:pPr>
                  <w:r>
                    <w:rPr>
                      <w:rFonts w:eastAsia="宋体"/>
                      <w:color w:val="000000" w:themeColor="text1"/>
                      <w:sz w:val="24"/>
                      <w:lang w:bidi="ar"/>
                      <w14:textFill>
                        <w14:solidFill>
                          <w14:schemeClr w14:val="tx1"/>
                        </w14:solidFill>
                      </w14:textFill>
                    </w:rPr>
                    <w:t>单位</w:t>
                  </w:r>
                </w:p>
              </w:tc>
              <w:tc>
                <w:tcPr>
                  <w:tcW w:w="884" w:type="pct"/>
                  <w:tcBorders>
                    <w:top w:val="single" w:color="auto" w:sz="12" w:space="0"/>
                    <w:left w:val="single" w:color="auto" w:sz="4" w:space="0"/>
                    <w:bottom w:val="single" w:color="auto" w:sz="4" w:space="0"/>
                    <w:right w:val="single" w:color="auto" w:sz="4" w:space="0"/>
                  </w:tcBorders>
                  <w:vAlign w:val="center"/>
                </w:tcPr>
                <w:p w14:paraId="60F8A8D0">
                  <w:pPr>
                    <w:jc w:val="center"/>
                    <w:rPr>
                      <w:rFonts w:eastAsia="宋体"/>
                      <w:color w:val="000000" w:themeColor="text1"/>
                      <w:sz w:val="24"/>
                      <w14:textFill>
                        <w14:solidFill>
                          <w14:schemeClr w14:val="tx1"/>
                        </w14:solidFill>
                      </w14:textFill>
                    </w:rPr>
                  </w:pPr>
                  <w:r>
                    <w:rPr>
                      <w:rFonts w:eastAsia="宋体"/>
                      <w:color w:val="000000" w:themeColor="text1"/>
                      <w:sz w:val="24"/>
                      <w:lang w:bidi="ar"/>
                      <w14:textFill>
                        <w14:solidFill>
                          <w14:schemeClr w14:val="tx1"/>
                        </w14:solidFill>
                      </w14:textFill>
                    </w:rPr>
                    <w:t>年产量</w:t>
                  </w:r>
                </w:p>
              </w:tc>
              <w:tc>
                <w:tcPr>
                  <w:tcW w:w="757" w:type="pct"/>
                  <w:tcBorders>
                    <w:top w:val="single" w:color="auto" w:sz="12" w:space="0"/>
                    <w:left w:val="single" w:color="auto" w:sz="4" w:space="0"/>
                    <w:bottom w:val="single" w:color="auto" w:sz="4" w:space="0"/>
                    <w:right w:val="nil"/>
                  </w:tcBorders>
                  <w:vAlign w:val="center"/>
                </w:tcPr>
                <w:p w14:paraId="03B4A215">
                  <w:pPr>
                    <w:jc w:val="center"/>
                    <w:rPr>
                      <w:rFonts w:eastAsia="宋体"/>
                      <w:color w:val="000000" w:themeColor="text1"/>
                      <w:sz w:val="24"/>
                      <w14:textFill>
                        <w14:solidFill>
                          <w14:schemeClr w14:val="tx1"/>
                        </w14:solidFill>
                      </w14:textFill>
                    </w:rPr>
                  </w:pPr>
                  <w:r>
                    <w:rPr>
                      <w:rFonts w:eastAsia="宋体"/>
                      <w:color w:val="000000" w:themeColor="text1"/>
                      <w:sz w:val="24"/>
                      <w:lang w:bidi="ar"/>
                      <w14:textFill>
                        <w14:solidFill>
                          <w14:schemeClr w14:val="tx1"/>
                        </w14:solidFill>
                      </w14:textFill>
                    </w:rPr>
                    <w:t>备注</w:t>
                  </w:r>
                </w:p>
              </w:tc>
            </w:tr>
            <w:tr w14:paraId="71A2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513" w:type="pct"/>
                  <w:tcBorders>
                    <w:top w:val="single" w:color="auto" w:sz="4" w:space="0"/>
                    <w:left w:val="nil"/>
                    <w:bottom w:val="single" w:color="auto" w:sz="4" w:space="0"/>
                    <w:right w:val="single" w:color="auto" w:sz="4" w:space="0"/>
                  </w:tcBorders>
                  <w:vAlign w:val="center"/>
                </w:tcPr>
                <w:p w14:paraId="736AFC04">
                  <w:pPr>
                    <w:jc w:val="center"/>
                    <w:rPr>
                      <w:rFonts w:eastAsia="宋体"/>
                      <w:color w:val="000000" w:themeColor="text1"/>
                      <w:sz w:val="24"/>
                      <w14:textFill>
                        <w14:solidFill>
                          <w14:schemeClr w14:val="tx1"/>
                        </w14:solidFill>
                      </w14:textFill>
                    </w:rPr>
                  </w:pPr>
                  <w:r>
                    <w:rPr>
                      <w:rFonts w:eastAsia="宋体"/>
                      <w:color w:val="000000" w:themeColor="text1"/>
                      <w:sz w:val="24"/>
                      <w:lang w:bidi="ar"/>
                      <w14:textFill>
                        <w14:solidFill>
                          <w14:schemeClr w14:val="tx1"/>
                        </w14:solidFill>
                      </w14:textFill>
                    </w:rPr>
                    <w:t>1</w:t>
                  </w:r>
                </w:p>
              </w:tc>
              <w:tc>
                <w:tcPr>
                  <w:tcW w:w="2160" w:type="pct"/>
                  <w:tcBorders>
                    <w:top w:val="single" w:color="auto" w:sz="4" w:space="0"/>
                    <w:left w:val="single" w:color="auto" w:sz="4" w:space="0"/>
                    <w:bottom w:val="single" w:color="auto" w:sz="4" w:space="0"/>
                    <w:right w:val="single" w:color="auto" w:sz="4" w:space="0"/>
                  </w:tcBorders>
                  <w:vAlign w:val="center"/>
                </w:tcPr>
                <w:p w14:paraId="24B31922">
                  <w:pPr>
                    <w:jc w:val="center"/>
                    <w:rPr>
                      <w:rFonts w:eastAsia="宋体"/>
                      <w:color w:val="000000" w:themeColor="text1"/>
                      <w:sz w:val="24"/>
                      <w:lang w:bidi="ar"/>
                      <w14:textFill>
                        <w14:solidFill>
                          <w14:schemeClr w14:val="tx1"/>
                        </w14:solidFill>
                      </w14:textFill>
                    </w:rPr>
                  </w:pPr>
                  <w:r>
                    <w:rPr>
                      <w:rFonts w:eastAsia="宋体"/>
                      <w:color w:val="000000" w:themeColor="text1"/>
                      <w:sz w:val="24"/>
                      <w14:textFill>
                        <w14:solidFill>
                          <w14:schemeClr w14:val="tx1"/>
                        </w14:solidFill>
                      </w14:textFill>
                    </w:rPr>
                    <w:t>氮肥</w:t>
                  </w:r>
                </w:p>
              </w:tc>
              <w:tc>
                <w:tcPr>
                  <w:tcW w:w="686" w:type="pct"/>
                  <w:tcBorders>
                    <w:top w:val="single" w:color="auto" w:sz="4" w:space="0"/>
                    <w:left w:val="single" w:color="auto" w:sz="4" w:space="0"/>
                    <w:bottom w:val="single" w:color="auto" w:sz="4" w:space="0"/>
                    <w:right w:val="single" w:color="auto" w:sz="4" w:space="0"/>
                  </w:tcBorders>
                  <w:vAlign w:val="center"/>
                </w:tcPr>
                <w:p w14:paraId="4570F0C3">
                  <w:pPr>
                    <w:jc w:val="center"/>
                    <w:rPr>
                      <w:rFonts w:eastAsia="宋体"/>
                      <w:color w:val="000000" w:themeColor="text1"/>
                      <w:sz w:val="24"/>
                      <w14:textFill>
                        <w14:solidFill>
                          <w14:schemeClr w14:val="tx1"/>
                        </w14:solidFill>
                      </w14:textFill>
                    </w:rPr>
                  </w:pPr>
                  <w:r>
                    <w:rPr>
                      <w:rFonts w:eastAsia="宋体"/>
                      <w:color w:val="000000" w:themeColor="text1"/>
                      <w:sz w:val="24"/>
                      <w:lang w:val="fr" w:bidi="ar"/>
                      <w14:textFill>
                        <w14:solidFill>
                          <w14:schemeClr w14:val="tx1"/>
                        </w14:solidFill>
                      </w14:textFill>
                    </w:rPr>
                    <w:t>t/a</w:t>
                  </w:r>
                </w:p>
              </w:tc>
              <w:tc>
                <w:tcPr>
                  <w:tcW w:w="884" w:type="pct"/>
                  <w:tcBorders>
                    <w:top w:val="single" w:color="auto" w:sz="4" w:space="0"/>
                    <w:left w:val="single" w:color="auto" w:sz="4" w:space="0"/>
                    <w:bottom w:val="single" w:color="auto" w:sz="4" w:space="0"/>
                    <w:right w:val="single" w:color="auto" w:sz="4" w:space="0"/>
                  </w:tcBorders>
                  <w:vAlign w:val="center"/>
                </w:tcPr>
                <w:p w14:paraId="06C4009C">
                  <w:pPr>
                    <w:widowControl/>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2000</w:t>
                  </w:r>
                </w:p>
              </w:tc>
              <w:tc>
                <w:tcPr>
                  <w:tcW w:w="757" w:type="pct"/>
                  <w:tcBorders>
                    <w:top w:val="single" w:color="auto" w:sz="4" w:space="0"/>
                    <w:left w:val="single" w:color="auto" w:sz="4" w:space="0"/>
                    <w:right w:val="nil"/>
                  </w:tcBorders>
                  <w:vAlign w:val="center"/>
                </w:tcPr>
                <w:p w14:paraId="3A8979D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外售</w:t>
                  </w:r>
                </w:p>
              </w:tc>
            </w:tr>
            <w:bookmarkEnd w:id="24"/>
          </w:tbl>
          <w:p w14:paraId="581B1BD3">
            <w:pPr>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表2-5物料平衡表</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1503"/>
              <w:gridCol w:w="2574"/>
              <w:gridCol w:w="1648"/>
            </w:tblGrid>
            <w:tr w14:paraId="642CB6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5" w:type="pct"/>
                  <w:tcBorders>
                    <w:top w:val="single" w:color="auto" w:sz="12" w:space="0"/>
                    <w:left w:val="nil"/>
                    <w:bottom w:val="single" w:color="auto" w:sz="4" w:space="0"/>
                    <w:right w:val="single" w:color="auto" w:sz="4" w:space="0"/>
                  </w:tcBorders>
                  <w:vAlign w:val="center"/>
                </w:tcPr>
                <w:p w14:paraId="3205D5E4">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原料</w:t>
                  </w:r>
                </w:p>
              </w:tc>
              <w:tc>
                <w:tcPr>
                  <w:tcW w:w="1048" w:type="pct"/>
                  <w:tcBorders>
                    <w:top w:val="single" w:color="auto" w:sz="12" w:space="0"/>
                    <w:left w:val="single" w:color="auto" w:sz="4" w:space="0"/>
                    <w:bottom w:val="single" w:color="auto" w:sz="4" w:space="0"/>
                    <w:right w:val="single" w:color="auto" w:sz="4" w:space="0"/>
                  </w:tcBorders>
                  <w:vAlign w:val="center"/>
                </w:tcPr>
                <w:p w14:paraId="6677314E">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进料量（t/a）</w:t>
                  </w:r>
                </w:p>
              </w:tc>
              <w:tc>
                <w:tcPr>
                  <w:tcW w:w="1795" w:type="pct"/>
                  <w:tcBorders>
                    <w:top w:val="single" w:color="auto" w:sz="12" w:space="0"/>
                    <w:left w:val="single" w:color="auto" w:sz="4" w:space="0"/>
                    <w:bottom w:val="single" w:color="auto" w:sz="4" w:space="0"/>
                    <w:right w:val="single" w:color="auto" w:sz="4" w:space="0"/>
                  </w:tcBorders>
                  <w:vAlign w:val="center"/>
                </w:tcPr>
                <w:p w14:paraId="0A1DB3EE">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产生</w:t>
                  </w:r>
                </w:p>
              </w:tc>
              <w:tc>
                <w:tcPr>
                  <w:tcW w:w="1150" w:type="pct"/>
                  <w:tcBorders>
                    <w:top w:val="single" w:color="auto" w:sz="12" w:space="0"/>
                    <w:left w:val="single" w:color="auto" w:sz="4" w:space="0"/>
                    <w:bottom w:val="single" w:color="auto" w:sz="4" w:space="0"/>
                    <w:right w:val="nil"/>
                  </w:tcBorders>
                  <w:vAlign w:val="center"/>
                </w:tcPr>
                <w:p w14:paraId="0490DE82">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产生量（t/a）</w:t>
                  </w:r>
                </w:p>
              </w:tc>
            </w:tr>
            <w:tr w14:paraId="04E96F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1005" w:type="pct"/>
                  <w:vMerge w:val="restart"/>
                  <w:tcBorders>
                    <w:top w:val="single" w:color="auto" w:sz="4" w:space="0"/>
                    <w:left w:val="nil"/>
                    <w:right w:val="single" w:color="auto" w:sz="4" w:space="0"/>
                  </w:tcBorders>
                  <w:vAlign w:val="center"/>
                </w:tcPr>
                <w:p w14:paraId="79C59096">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硫酸铵</w:t>
                  </w:r>
                </w:p>
                <w:p w14:paraId="6F6C0027">
                  <w:pPr>
                    <w:pStyle w:val="73"/>
                    <w:rPr>
                      <w:rFonts w:cs="Times New Roman"/>
                      <w:color w:val="000000" w:themeColor="text1"/>
                      <w:sz w:val="24"/>
                      <w:szCs w:val="24"/>
                      <w14:textFill>
                        <w14:solidFill>
                          <w14:schemeClr w14:val="tx1"/>
                        </w14:solidFill>
                      </w14:textFill>
                    </w:rPr>
                  </w:pPr>
                </w:p>
              </w:tc>
              <w:tc>
                <w:tcPr>
                  <w:tcW w:w="1048" w:type="pct"/>
                  <w:vMerge w:val="restart"/>
                  <w:tcBorders>
                    <w:top w:val="single" w:color="auto" w:sz="4" w:space="0"/>
                    <w:left w:val="single" w:color="auto" w:sz="4" w:space="0"/>
                    <w:right w:val="single" w:color="auto" w:sz="4" w:space="0"/>
                  </w:tcBorders>
                  <w:vAlign w:val="center"/>
                </w:tcPr>
                <w:p w14:paraId="0A823B4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2000.318</w:t>
                  </w:r>
                </w:p>
              </w:tc>
              <w:tc>
                <w:tcPr>
                  <w:tcW w:w="1795" w:type="pct"/>
                  <w:tcBorders>
                    <w:top w:val="single" w:color="auto" w:sz="4" w:space="0"/>
                    <w:left w:val="single" w:color="auto" w:sz="4" w:space="0"/>
                    <w:bottom w:val="single" w:color="auto" w:sz="4" w:space="0"/>
                    <w:right w:val="single" w:color="auto" w:sz="4" w:space="0"/>
                  </w:tcBorders>
                  <w:vAlign w:val="center"/>
                </w:tcPr>
                <w:p w14:paraId="379B952E">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氮肥</w:t>
                  </w:r>
                </w:p>
              </w:tc>
              <w:tc>
                <w:tcPr>
                  <w:tcW w:w="1150" w:type="pct"/>
                  <w:tcBorders>
                    <w:top w:val="single" w:color="auto" w:sz="4" w:space="0"/>
                    <w:left w:val="single" w:color="auto" w:sz="4" w:space="0"/>
                    <w:bottom w:val="single" w:color="auto" w:sz="4" w:space="0"/>
                    <w:right w:val="nil"/>
                  </w:tcBorders>
                  <w:vAlign w:val="center"/>
                </w:tcPr>
                <w:p w14:paraId="406FEE45">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2000</w:t>
                  </w:r>
                </w:p>
              </w:tc>
            </w:tr>
            <w:tr w14:paraId="3B92F9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05" w:type="pct"/>
                  <w:vMerge w:val="continue"/>
                  <w:tcBorders>
                    <w:left w:val="nil"/>
                    <w:right w:val="single" w:color="auto" w:sz="4" w:space="0"/>
                  </w:tcBorders>
                  <w:vAlign w:val="center"/>
                </w:tcPr>
                <w:p w14:paraId="2B23418B">
                  <w:pPr>
                    <w:pStyle w:val="73"/>
                    <w:rPr>
                      <w:rFonts w:cs="Times New Roman"/>
                      <w:color w:val="000000" w:themeColor="text1"/>
                      <w:sz w:val="24"/>
                      <w:szCs w:val="24"/>
                      <w14:textFill>
                        <w14:solidFill>
                          <w14:schemeClr w14:val="tx1"/>
                        </w14:solidFill>
                      </w14:textFill>
                    </w:rPr>
                  </w:pPr>
                </w:p>
              </w:tc>
              <w:tc>
                <w:tcPr>
                  <w:tcW w:w="1048" w:type="pct"/>
                  <w:vMerge w:val="continue"/>
                  <w:tcBorders>
                    <w:left w:val="single" w:color="auto" w:sz="4" w:space="0"/>
                    <w:right w:val="single" w:color="auto" w:sz="4" w:space="0"/>
                  </w:tcBorders>
                  <w:vAlign w:val="center"/>
                </w:tcPr>
                <w:p w14:paraId="770CDE56">
                  <w:pPr>
                    <w:pStyle w:val="73"/>
                    <w:rPr>
                      <w:rFonts w:cs="Times New Roman"/>
                      <w:color w:val="000000" w:themeColor="text1"/>
                      <w:sz w:val="24"/>
                      <w:szCs w:val="24"/>
                      <w14:textFill>
                        <w14:solidFill>
                          <w14:schemeClr w14:val="tx1"/>
                        </w14:solidFill>
                      </w14:textFill>
                    </w:rPr>
                  </w:pPr>
                </w:p>
              </w:tc>
              <w:tc>
                <w:tcPr>
                  <w:tcW w:w="1795" w:type="pct"/>
                  <w:tcBorders>
                    <w:top w:val="single" w:color="auto" w:sz="4" w:space="0"/>
                    <w:left w:val="single" w:color="auto" w:sz="4" w:space="0"/>
                    <w:bottom w:val="single" w:color="auto" w:sz="4" w:space="0"/>
                    <w:right w:val="single" w:color="auto" w:sz="4" w:space="0"/>
                  </w:tcBorders>
                  <w:vAlign w:val="center"/>
                </w:tcPr>
                <w:p w14:paraId="3B772247">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无组织粉尘</w:t>
                  </w:r>
                </w:p>
              </w:tc>
              <w:tc>
                <w:tcPr>
                  <w:tcW w:w="1150" w:type="pct"/>
                  <w:tcBorders>
                    <w:top w:val="single" w:color="auto" w:sz="4" w:space="0"/>
                    <w:left w:val="single" w:color="auto" w:sz="4" w:space="0"/>
                    <w:bottom w:val="single" w:color="auto" w:sz="4" w:space="0"/>
                    <w:right w:val="nil"/>
                  </w:tcBorders>
                  <w:vAlign w:val="center"/>
                </w:tcPr>
                <w:p w14:paraId="11D4CCCC">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0.168</w:t>
                  </w:r>
                </w:p>
              </w:tc>
            </w:tr>
            <w:tr w14:paraId="3F6F5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005" w:type="pct"/>
                  <w:vMerge w:val="continue"/>
                  <w:tcBorders>
                    <w:left w:val="nil"/>
                    <w:right w:val="single" w:color="auto" w:sz="4" w:space="0"/>
                  </w:tcBorders>
                  <w:vAlign w:val="center"/>
                </w:tcPr>
                <w:p w14:paraId="3DB8A307">
                  <w:pPr>
                    <w:pStyle w:val="73"/>
                    <w:rPr>
                      <w:rFonts w:cs="Times New Roman"/>
                      <w:color w:val="000000" w:themeColor="text1"/>
                      <w:sz w:val="24"/>
                      <w:szCs w:val="24"/>
                      <w14:textFill>
                        <w14:solidFill>
                          <w14:schemeClr w14:val="tx1"/>
                        </w14:solidFill>
                      </w14:textFill>
                    </w:rPr>
                  </w:pPr>
                </w:p>
              </w:tc>
              <w:tc>
                <w:tcPr>
                  <w:tcW w:w="1048" w:type="pct"/>
                  <w:vMerge w:val="continue"/>
                  <w:tcBorders>
                    <w:left w:val="single" w:color="auto" w:sz="4" w:space="0"/>
                    <w:right w:val="single" w:color="auto" w:sz="4" w:space="0"/>
                  </w:tcBorders>
                  <w:vAlign w:val="center"/>
                </w:tcPr>
                <w:p w14:paraId="04BE4491">
                  <w:pPr>
                    <w:pStyle w:val="73"/>
                    <w:rPr>
                      <w:rFonts w:cs="Times New Roman"/>
                      <w:color w:val="000000" w:themeColor="text1"/>
                      <w:sz w:val="24"/>
                      <w:szCs w:val="24"/>
                      <w14:textFill>
                        <w14:solidFill>
                          <w14:schemeClr w14:val="tx1"/>
                        </w14:solidFill>
                      </w14:textFill>
                    </w:rPr>
                  </w:pPr>
                </w:p>
              </w:tc>
              <w:tc>
                <w:tcPr>
                  <w:tcW w:w="1795" w:type="pct"/>
                  <w:tcBorders>
                    <w:top w:val="single" w:color="auto" w:sz="4" w:space="0"/>
                    <w:left w:val="single" w:color="auto" w:sz="4" w:space="0"/>
                    <w:bottom w:val="single" w:color="auto" w:sz="4" w:space="0"/>
                    <w:right w:val="single" w:color="auto" w:sz="4" w:space="0"/>
                  </w:tcBorders>
                  <w:vAlign w:val="center"/>
                </w:tcPr>
                <w:p w14:paraId="33E01FFD">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有组织粉尘</w:t>
                  </w:r>
                </w:p>
              </w:tc>
              <w:tc>
                <w:tcPr>
                  <w:tcW w:w="1150" w:type="pct"/>
                  <w:tcBorders>
                    <w:top w:val="single" w:color="auto" w:sz="4" w:space="0"/>
                    <w:left w:val="single" w:color="auto" w:sz="4" w:space="0"/>
                    <w:bottom w:val="single" w:color="auto" w:sz="4" w:space="0"/>
                    <w:right w:val="nil"/>
                  </w:tcBorders>
                  <w:vAlign w:val="center"/>
                </w:tcPr>
                <w:p w14:paraId="166F6116">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0.15</w:t>
                  </w:r>
                </w:p>
              </w:tc>
            </w:tr>
            <w:tr w14:paraId="4BE31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5" w:type="pct"/>
                  <w:vMerge w:val="continue"/>
                  <w:tcBorders>
                    <w:left w:val="nil"/>
                    <w:bottom w:val="single" w:color="auto" w:sz="12" w:space="0"/>
                    <w:right w:val="single" w:color="auto" w:sz="4" w:space="0"/>
                  </w:tcBorders>
                  <w:vAlign w:val="center"/>
                </w:tcPr>
                <w:p w14:paraId="4E90D4D0">
                  <w:pPr>
                    <w:pStyle w:val="73"/>
                    <w:rPr>
                      <w:rFonts w:cs="Times New Roman"/>
                      <w:color w:val="000000" w:themeColor="text1"/>
                      <w:sz w:val="24"/>
                      <w:szCs w:val="24"/>
                      <w14:textFill>
                        <w14:solidFill>
                          <w14:schemeClr w14:val="tx1"/>
                        </w14:solidFill>
                      </w14:textFill>
                    </w:rPr>
                  </w:pPr>
                </w:p>
              </w:tc>
              <w:tc>
                <w:tcPr>
                  <w:tcW w:w="1048" w:type="pct"/>
                  <w:vMerge w:val="continue"/>
                  <w:tcBorders>
                    <w:left w:val="single" w:color="auto" w:sz="4" w:space="0"/>
                    <w:bottom w:val="single" w:color="auto" w:sz="12" w:space="0"/>
                    <w:right w:val="single" w:color="auto" w:sz="4" w:space="0"/>
                  </w:tcBorders>
                  <w:vAlign w:val="center"/>
                </w:tcPr>
                <w:p w14:paraId="3412B7DB">
                  <w:pPr>
                    <w:pStyle w:val="73"/>
                    <w:rPr>
                      <w:rFonts w:cs="Times New Roman"/>
                      <w:color w:val="000000" w:themeColor="text1"/>
                      <w:sz w:val="24"/>
                      <w:szCs w:val="24"/>
                      <w14:textFill>
                        <w14:solidFill>
                          <w14:schemeClr w14:val="tx1"/>
                        </w14:solidFill>
                      </w14:textFill>
                    </w:rPr>
                  </w:pPr>
                </w:p>
              </w:tc>
              <w:tc>
                <w:tcPr>
                  <w:tcW w:w="1795" w:type="pct"/>
                  <w:tcBorders>
                    <w:top w:val="single" w:color="auto" w:sz="4" w:space="0"/>
                    <w:left w:val="single" w:color="auto" w:sz="4" w:space="0"/>
                    <w:bottom w:val="single" w:color="auto" w:sz="12" w:space="0"/>
                    <w:right w:val="single" w:color="auto" w:sz="4" w:space="0"/>
                  </w:tcBorders>
                  <w:vAlign w:val="center"/>
                </w:tcPr>
                <w:p w14:paraId="0E23CFA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总计</w:t>
                  </w:r>
                </w:p>
              </w:tc>
              <w:tc>
                <w:tcPr>
                  <w:tcW w:w="1150" w:type="pct"/>
                  <w:tcBorders>
                    <w:top w:val="single" w:color="auto" w:sz="4" w:space="0"/>
                    <w:left w:val="single" w:color="auto" w:sz="4" w:space="0"/>
                    <w:bottom w:val="single" w:color="auto" w:sz="12" w:space="0"/>
                    <w:right w:val="nil"/>
                  </w:tcBorders>
                  <w:vAlign w:val="center"/>
                </w:tcPr>
                <w:p w14:paraId="3EF79BFA">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2000.318</w:t>
                  </w:r>
                </w:p>
              </w:tc>
            </w:tr>
          </w:tbl>
          <w:p w14:paraId="4C0F9BDD">
            <w:pPr>
              <w:adjustRightInd w:val="0"/>
              <w:snapToGrid w:val="0"/>
              <w:spacing w:line="500" w:lineRule="exact"/>
              <w:ind w:firstLine="482" w:firstLineChars="200"/>
              <w:rPr>
                <w:rFonts w:eastAsia="宋体"/>
                <w:b/>
                <w:color w:val="000000" w:themeColor="text1"/>
                <w:sz w:val="24"/>
                <w14:textFill>
                  <w14:solidFill>
                    <w14:schemeClr w14:val="tx1"/>
                  </w14:solidFill>
                </w14:textFill>
              </w:rPr>
            </w:pPr>
          </w:p>
          <w:p w14:paraId="65278543">
            <w:pPr>
              <w:adjustRightInd w:val="0"/>
              <w:snapToGrid w:val="0"/>
              <w:spacing w:line="500" w:lineRule="exact"/>
              <w:ind w:firstLine="482" w:firstLineChars="200"/>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5、主要设备</w:t>
            </w:r>
          </w:p>
          <w:p w14:paraId="1088CE86">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本项目主要生产设备见表2-6。</w:t>
            </w:r>
          </w:p>
          <w:p w14:paraId="391D2E8A">
            <w:pPr>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表2-6主要生产设备一览表</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284"/>
              <w:gridCol w:w="2729"/>
              <w:gridCol w:w="1752"/>
              <w:gridCol w:w="1402"/>
            </w:tblGrid>
            <w:tr w14:paraId="7095F36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tblHeader/>
                <w:jc w:val="center"/>
              </w:trPr>
              <w:tc>
                <w:tcPr>
                  <w:tcW w:w="895" w:type="pct"/>
                  <w:vAlign w:val="center"/>
                </w:tcPr>
                <w:p w14:paraId="59E722D2">
                  <w:pPr>
                    <w:jc w:val="center"/>
                    <w:rPr>
                      <w:rFonts w:eastAsia="宋体"/>
                      <w:bCs/>
                      <w:color w:val="000000" w:themeColor="text1"/>
                      <w:sz w:val="24"/>
                      <w14:textFill>
                        <w14:solidFill>
                          <w14:schemeClr w14:val="tx1"/>
                        </w14:solidFill>
                      </w14:textFill>
                    </w:rPr>
                  </w:pPr>
                  <w:bookmarkStart w:id="25" w:name="_Hlk84530798"/>
                  <w:r>
                    <w:rPr>
                      <w:rFonts w:eastAsia="宋体"/>
                      <w:bCs/>
                      <w:color w:val="000000" w:themeColor="text1"/>
                      <w:sz w:val="24"/>
                      <w14:textFill>
                        <w14:solidFill>
                          <w14:schemeClr w14:val="tx1"/>
                        </w14:solidFill>
                      </w14:textFill>
                    </w:rPr>
                    <w:t>序号</w:t>
                  </w:r>
                </w:p>
              </w:tc>
              <w:tc>
                <w:tcPr>
                  <w:tcW w:w="1904" w:type="pct"/>
                  <w:vAlign w:val="center"/>
                </w:tcPr>
                <w:p w14:paraId="48013A70">
                  <w:pPr>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名称</w:t>
                  </w:r>
                </w:p>
              </w:tc>
              <w:tc>
                <w:tcPr>
                  <w:tcW w:w="1222" w:type="pct"/>
                  <w:vAlign w:val="center"/>
                </w:tcPr>
                <w:p w14:paraId="496D70B2">
                  <w:pPr>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单位</w:t>
                  </w:r>
                </w:p>
              </w:tc>
              <w:tc>
                <w:tcPr>
                  <w:tcW w:w="978" w:type="pct"/>
                  <w:vAlign w:val="center"/>
                </w:tcPr>
                <w:p w14:paraId="26CCA743">
                  <w:pPr>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数量</w:t>
                  </w:r>
                </w:p>
              </w:tc>
            </w:tr>
            <w:tr w14:paraId="2444C14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5" w:type="pct"/>
                  <w:vAlign w:val="center"/>
                </w:tcPr>
                <w:p w14:paraId="6B9DAA8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w:t>
                  </w:r>
                </w:p>
              </w:tc>
              <w:tc>
                <w:tcPr>
                  <w:tcW w:w="1904" w:type="pct"/>
                  <w:vAlign w:val="center"/>
                </w:tcPr>
                <w:p w14:paraId="58AC5E1D">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粉碎机</w:t>
                  </w:r>
                </w:p>
              </w:tc>
              <w:tc>
                <w:tcPr>
                  <w:tcW w:w="1222" w:type="pct"/>
                  <w:vAlign w:val="center"/>
                </w:tcPr>
                <w:p w14:paraId="7936E5AD">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台</w:t>
                  </w:r>
                </w:p>
              </w:tc>
              <w:tc>
                <w:tcPr>
                  <w:tcW w:w="1402" w:type="dxa"/>
                  <w:vAlign w:val="center"/>
                </w:tcPr>
                <w:p w14:paraId="2FC34ED5">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1</w:t>
                  </w:r>
                </w:p>
              </w:tc>
            </w:tr>
            <w:tr w14:paraId="654C2DE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5" w:type="pct"/>
                  <w:vAlign w:val="center"/>
                </w:tcPr>
                <w:p w14:paraId="002D425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w:t>
                  </w:r>
                </w:p>
              </w:tc>
              <w:tc>
                <w:tcPr>
                  <w:tcW w:w="1904" w:type="pct"/>
                  <w:vAlign w:val="center"/>
                </w:tcPr>
                <w:p w14:paraId="7F77A804">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搅拌机</w:t>
                  </w:r>
                </w:p>
              </w:tc>
              <w:tc>
                <w:tcPr>
                  <w:tcW w:w="1752" w:type="dxa"/>
                  <w:vAlign w:val="center"/>
                </w:tcPr>
                <w:p w14:paraId="2E094E32">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台</w:t>
                  </w:r>
                </w:p>
              </w:tc>
              <w:tc>
                <w:tcPr>
                  <w:tcW w:w="1402" w:type="dxa"/>
                  <w:vAlign w:val="center"/>
                </w:tcPr>
                <w:p w14:paraId="1F8B2EFD">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1</w:t>
                  </w:r>
                </w:p>
              </w:tc>
            </w:tr>
            <w:tr w14:paraId="6E3CC33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5" w:type="pct"/>
                  <w:vAlign w:val="center"/>
                </w:tcPr>
                <w:p w14:paraId="233A893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3</w:t>
                  </w:r>
                </w:p>
              </w:tc>
              <w:tc>
                <w:tcPr>
                  <w:tcW w:w="1904" w:type="pct"/>
                  <w:vAlign w:val="center"/>
                </w:tcPr>
                <w:p w14:paraId="013A354B">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上料机</w:t>
                  </w:r>
                </w:p>
              </w:tc>
              <w:tc>
                <w:tcPr>
                  <w:tcW w:w="1752" w:type="dxa"/>
                  <w:vAlign w:val="center"/>
                </w:tcPr>
                <w:p w14:paraId="5E58F572">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台</w:t>
                  </w:r>
                </w:p>
              </w:tc>
              <w:tc>
                <w:tcPr>
                  <w:tcW w:w="1402" w:type="dxa"/>
                  <w:vAlign w:val="center"/>
                </w:tcPr>
                <w:p w14:paraId="607C60A4">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1</w:t>
                  </w:r>
                </w:p>
              </w:tc>
            </w:tr>
            <w:tr w14:paraId="2B038CF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5" w:type="pct"/>
                  <w:vAlign w:val="center"/>
                </w:tcPr>
                <w:p w14:paraId="51F76FD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4</w:t>
                  </w:r>
                </w:p>
              </w:tc>
              <w:tc>
                <w:tcPr>
                  <w:tcW w:w="1904" w:type="pct"/>
                  <w:vAlign w:val="center"/>
                </w:tcPr>
                <w:p w14:paraId="4C19A58D">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输送机</w:t>
                  </w:r>
                </w:p>
              </w:tc>
              <w:tc>
                <w:tcPr>
                  <w:tcW w:w="1752" w:type="dxa"/>
                  <w:vAlign w:val="center"/>
                </w:tcPr>
                <w:p w14:paraId="5E5CD43E">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台</w:t>
                  </w:r>
                </w:p>
              </w:tc>
              <w:tc>
                <w:tcPr>
                  <w:tcW w:w="1402" w:type="dxa"/>
                  <w:vAlign w:val="center"/>
                </w:tcPr>
                <w:p w14:paraId="7D606E70">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2</w:t>
                  </w:r>
                </w:p>
              </w:tc>
            </w:tr>
            <w:tr w14:paraId="6E926D7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5" w:type="pct"/>
                  <w:vAlign w:val="center"/>
                </w:tcPr>
                <w:p w14:paraId="1051EA61">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5</w:t>
                  </w:r>
                </w:p>
              </w:tc>
              <w:tc>
                <w:tcPr>
                  <w:tcW w:w="1904" w:type="pct"/>
                  <w:vAlign w:val="center"/>
                </w:tcPr>
                <w:p w14:paraId="4DF15AAC">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制粒机</w:t>
                  </w:r>
                </w:p>
              </w:tc>
              <w:tc>
                <w:tcPr>
                  <w:tcW w:w="1752" w:type="dxa"/>
                  <w:vAlign w:val="center"/>
                </w:tcPr>
                <w:p w14:paraId="7D67F5F8">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台</w:t>
                  </w:r>
                </w:p>
              </w:tc>
              <w:tc>
                <w:tcPr>
                  <w:tcW w:w="1402" w:type="dxa"/>
                  <w:vAlign w:val="center"/>
                </w:tcPr>
                <w:p w14:paraId="20FFAF7E">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8</w:t>
                  </w:r>
                </w:p>
              </w:tc>
            </w:tr>
            <w:tr w14:paraId="6CEAE1D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5" w:type="pct"/>
                  <w:vAlign w:val="center"/>
                </w:tcPr>
                <w:p w14:paraId="1007E11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6</w:t>
                  </w:r>
                </w:p>
              </w:tc>
              <w:tc>
                <w:tcPr>
                  <w:tcW w:w="1904" w:type="pct"/>
                  <w:vAlign w:val="center"/>
                </w:tcPr>
                <w:p w14:paraId="3A3193E8">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包装称</w:t>
                  </w:r>
                </w:p>
              </w:tc>
              <w:tc>
                <w:tcPr>
                  <w:tcW w:w="1752" w:type="dxa"/>
                  <w:vAlign w:val="center"/>
                </w:tcPr>
                <w:p w14:paraId="218A93F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台</w:t>
                  </w:r>
                </w:p>
              </w:tc>
              <w:tc>
                <w:tcPr>
                  <w:tcW w:w="1402" w:type="dxa"/>
                  <w:vAlign w:val="center"/>
                </w:tcPr>
                <w:p w14:paraId="1650E2C5">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1</w:t>
                  </w:r>
                </w:p>
              </w:tc>
            </w:tr>
            <w:tr w14:paraId="57C4E50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5" w:type="pct"/>
                  <w:vAlign w:val="center"/>
                </w:tcPr>
                <w:p w14:paraId="396CB4D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7</w:t>
                  </w:r>
                </w:p>
              </w:tc>
              <w:tc>
                <w:tcPr>
                  <w:tcW w:w="1904" w:type="pct"/>
                  <w:vAlign w:val="center"/>
                </w:tcPr>
                <w:p w14:paraId="14AA84DE">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筛分机</w:t>
                  </w:r>
                </w:p>
              </w:tc>
              <w:tc>
                <w:tcPr>
                  <w:tcW w:w="1752" w:type="dxa"/>
                  <w:vAlign w:val="center"/>
                </w:tcPr>
                <w:p w14:paraId="4EF91708">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台</w:t>
                  </w:r>
                </w:p>
              </w:tc>
              <w:tc>
                <w:tcPr>
                  <w:tcW w:w="1402" w:type="dxa"/>
                  <w:vAlign w:val="center"/>
                </w:tcPr>
                <w:p w14:paraId="1FBB894C">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1</w:t>
                  </w:r>
                </w:p>
              </w:tc>
            </w:tr>
            <w:bookmarkEnd w:id="22"/>
            <w:bookmarkEnd w:id="25"/>
          </w:tbl>
          <w:p w14:paraId="415EE05A">
            <w:pPr>
              <w:spacing w:line="500" w:lineRule="exact"/>
              <w:ind w:firstLine="482" w:firstLineChars="200"/>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6、公用工程</w:t>
            </w:r>
          </w:p>
          <w:p w14:paraId="5B4EB3EE">
            <w:pPr>
              <w:spacing w:line="500" w:lineRule="exact"/>
              <w:ind w:firstLine="480" w:firstLineChars="200"/>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（1）给水</w:t>
            </w:r>
          </w:p>
          <w:p w14:paraId="30F8097D">
            <w:pPr>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本项目建设完成后生产不用水，项目职工生活用水外购桶装水。</w:t>
            </w:r>
            <w:bookmarkStart w:id="26" w:name="_Hlk109913718"/>
            <w:r>
              <w:rPr>
                <w:rFonts w:eastAsia="宋体"/>
                <w:bCs/>
                <w:color w:val="000000" w:themeColor="text1"/>
                <w:sz w:val="24"/>
                <w14:textFill>
                  <w14:solidFill>
                    <w14:schemeClr w14:val="tx1"/>
                  </w14:solidFill>
                </w14:textFill>
              </w:rPr>
              <w:t>厂区劳动定员共计10人，年工作240天，</w:t>
            </w:r>
            <w:r>
              <w:rPr>
                <w:rFonts w:eastAsia="宋体"/>
                <w:color w:val="000000" w:themeColor="text1"/>
                <w:sz w:val="24"/>
                <w14:textFill>
                  <w14:solidFill>
                    <w14:schemeClr w14:val="tx1"/>
                  </w14:solidFill>
                </w14:textFill>
              </w:rPr>
              <w:t>根据黑龙江省地方标准《用水定额》（DB23/T727-2025），生活用水按每人80L/d计，</w:t>
            </w:r>
            <w:r>
              <w:rPr>
                <w:rFonts w:eastAsia="宋体"/>
                <w:color w:val="000000" w:themeColor="text1"/>
                <w:kern w:val="0"/>
                <w:sz w:val="24"/>
                <w:lang w:val="zh-CN"/>
                <w14:textFill>
                  <w14:solidFill>
                    <w14:schemeClr w14:val="tx1"/>
                  </w14:solidFill>
                </w14:textFill>
              </w:rPr>
              <w:t>厂区生活用水量为</w:t>
            </w:r>
            <w:r>
              <w:rPr>
                <w:rFonts w:eastAsia="宋体"/>
                <w:color w:val="000000" w:themeColor="text1"/>
                <w:kern w:val="0"/>
                <w:sz w:val="24"/>
                <w14:textFill>
                  <w14:solidFill>
                    <w14:schemeClr w14:val="tx1"/>
                  </w14:solidFill>
                </w14:textFill>
              </w:rPr>
              <w:t>0.8t/d、192t/a</w:t>
            </w:r>
            <w:r>
              <w:rPr>
                <w:rFonts w:eastAsia="宋体"/>
                <w:color w:val="000000" w:themeColor="text1"/>
                <w:kern w:val="0"/>
                <w:sz w:val="24"/>
                <w:lang w:val="zh-CN"/>
                <w14:textFill>
                  <w14:solidFill>
                    <w14:schemeClr w14:val="tx1"/>
                  </w14:solidFill>
                </w14:textFill>
              </w:rPr>
              <w:t>。</w:t>
            </w:r>
          </w:p>
          <w:bookmarkEnd w:id="26"/>
          <w:p w14:paraId="3F36BFA0">
            <w:pPr>
              <w:spacing w:line="500" w:lineRule="exact"/>
              <w:ind w:firstLine="480" w:firstLineChars="200"/>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（2）排水</w:t>
            </w:r>
          </w:p>
          <w:p w14:paraId="17979BB7">
            <w:pPr>
              <w:spacing w:line="500" w:lineRule="exact"/>
              <w:ind w:firstLine="480" w:firstLineChars="200"/>
              <w:rPr>
                <w:rFonts w:eastAsia="宋体"/>
                <w:color w:val="000000" w:themeColor="text1"/>
                <w:sz w:val="24"/>
                <w14:textFill>
                  <w14:solidFill>
                    <w14:schemeClr w14:val="tx1"/>
                  </w14:solidFill>
                </w14:textFill>
              </w:rPr>
            </w:pPr>
            <w:bookmarkStart w:id="27" w:name="_Hlk109913732"/>
            <w:r>
              <w:rPr>
                <w:rFonts w:eastAsia="宋体"/>
                <w:color w:val="000000" w:themeColor="text1"/>
                <w:sz w:val="24"/>
                <w14:textFill>
                  <w14:solidFill>
                    <w14:schemeClr w14:val="tx1"/>
                  </w14:solidFill>
                </w14:textFill>
              </w:rPr>
              <w:t>本项目建成后无生产废水产生。生活污水排入防渗旱厕，定期清掏。</w:t>
            </w:r>
          </w:p>
          <w:p w14:paraId="416992DA">
            <w:pPr>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1、生活污水</w:t>
            </w:r>
          </w:p>
          <w:p w14:paraId="1838663B">
            <w:pPr>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生活污水按用水量的80%计算，排放量为0.64t/d</w:t>
            </w:r>
            <w:r>
              <w:rPr>
                <w:rFonts w:eastAsia="宋体"/>
                <w:color w:val="000000" w:themeColor="text1"/>
                <w:kern w:val="0"/>
                <w:sz w:val="24"/>
                <w:lang w:val="zh-CN"/>
                <w14:textFill>
                  <w14:solidFill>
                    <w14:schemeClr w14:val="tx1"/>
                  </w14:solidFill>
                </w14:textFill>
              </w:rPr>
              <w:t>、</w:t>
            </w:r>
            <w:r>
              <w:rPr>
                <w:rFonts w:eastAsia="宋体"/>
                <w:color w:val="000000" w:themeColor="text1"/>
                <w:kern w:val="0"/>
                <w:sz w:val="24"/>
                <w14:textFill>
                  <w14:solidFill>
                    <w14:schemeClr w14:val="tx1"/>
                  </w14:solidFill>
                </w14:textFill>
              </w:rPr>
              <w:t>153.6</w:t>
            </w:r>
            <w:r>
              <w:rPr>
                <w:rFonts w:eastAsia="宋体"/>
                <w:color w:val="000000" w:themeColor="text1"/>
                <w:kern w:val="0"/>
                <w:sz w:val="24"/>
                <w:lang w:val="zh-CN"/>
                <w14:textFill>
                  <w14:solidFill>
                    <w14:schemeClr w14:val="tx1"/>
                  </w14:solidFill>
                </w14:textFill>
              </w:rPr>
              <w:t>t/a</w:t>
            </w:r>
            <w:r>
              <w:rPr>
                <w:rFonts w:eastAsia="宋体"/>
                <w:color w:val="000000" w:themeColor="text1"/>
                <w:sz w:val="24"/>
                <w14:textFill>
                  <w14:solidFill>
                    <w14:schemeClr w14:val="tx1"/>
                  </w14:solidFill>
                </w14:textFill>
              </w:rPr>
              <w:t>。</w:t>
            </w:r>
          </w:p>
          <w:bookmarkEnd w:id="27"/>
          <w:p w14:paraId="18A1AA1D">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14:textFill>
                  <w14:solidFill>
                    <w14:schemeClr w14:val="tx1"/>
                  </w14:solidFill>
                </w14:textFill>
              </w:rPr>
              <w:drawing>
                <wp:inline distT="0" distB="0" distL="114300" distR="114300">
                  <wp:extent cx="4551045" cy="1468755"/>
                  <wp:effectExtent l="0" t="0" r="1905" b="17145"/>
                  <wp:docPr id="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pic:cNvPicPr>
                            <a:picLocks noChangeAspect="1"/>
                          </pic:cNvPicPr>
                        </pic:nvPicPr>
                        <pic:blipFill>
                          <a:blip r:embed="rId24"/>
                          <a:stretch>
                            <a:fillRect/>
                          </a:stretch>
                        </pic:blipFill>
                        <pic:spPr>
                          <a:xfrm>
                            <a:off x="0" y="0"/>
                            <a:ext cx="4551045" cy="1468755"/>
                          </a:xfrm>
                          <a:prstGeom prst="rect">
                            <a:avLst/>
                          </a:prstGeom>
                          <a:noFill/>
                          <a:ln>
                            <a:noFill/>
                          </a:ln>
                        </pic:spPr>
                      </pic:pic>
                    </a:graphicData>
                  </a:graphic>
                </wp:inline>
              </w:drawing>
            </w:r>
          </w:p>
          <w:p w14:paraId="10D2BD72">
            <w:pPr>
              <w:spacing w:line="480" w:lineRule="exact"/>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图2-1水量平衡图（单位：t/d）</w:t>
            </w:r>
          </w:p>
          <w:p w14:paraId="0DE2DB02">
            <w:pPr>
              <w:adjustRightInd w:val="0"/>
              <w:snapToGrid w:val="0"/>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（3）供热</w:t>
            </w:r>
          </w:p>
          <w:p w14:paraId="1F473975">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本项目冬季</w:t>
            </w:r>
            <w:r>
              <w:rPr>
                <w:rFonts w:hint="eastAsia" w:eastAsia="宋体"/>
                <w:color w:val="000000" w:themeColor="text1"/>
                <w:sz w:val="24"/>
                <w:lang w:eastAsia="zh-CN"/>
                <w14:textFill>
                  <w14:solidFill>
                    <w14:schemeClr w14:val="tx1"/>
                  </w14:solidFill>
                </w14:textFill>
              </w:rPr>
              <w:t>电采暖</w:t>
            </w:r>
            <w:r>
              <w:rPr>
                <w:rFonts w:eastAsia="宋体"/>
                <w:color w:val="000000" w:themeColor="text1"/>
                <w:sz w:val="24"/>
                <w14:textFill>
                  <w14:solidFill>
                    <w14:schemeClr w14:val="tx1"/>
                  </w14:solidFill>
                </w14:textFill>
              </w:rPr>
              <w:t>。</w:t>
            </w:r>
          </w:p>
          <w:p w14:paraId="2D6AFC9E">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（4）供电</w:t>
            </w:r>
          </w:p>
          <w:p w14:paraId="62E5A5FB">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项目用电由当地供电所提供，能够满足本项目用电</w:t>
            </w:r>
            <w:r>
              <w:rPr>
                <w:rFonts w:hint="eastAsia" w:eastAsia="宋体"/>
                <w:color w:val="000000" w:themeColor="text1"/>
                <w:sz w:val="24"/>
                <w:lang w:val="en-US" w:eastAsia="zh-CN"/>
                <w14:textFill>
                  <w14:solidFill>
                    <w14:schemeClr w14:val="tx1"/>
                  </w14:solidFill>
                </w14:textFill>
              </w:rPr>
              <w:t>需求</w:t>
            </w:r>
            <w:r>
              <w:rPr>
                <w:rFonts w:eastAsia="宋体"/>
                <w:color w:val="000000" w:themeColor="text1"/>
                <w:sz w:val="24"/>
                <w14:textFill>
                  <w14:solidFill>
                    <w14:schemeClr w14:val="tx1"/>
                  </w14:solidFill>
                </w14:textFill>
              </w:rPr>
              <w:t>。</w:t>
            </w:r>
          </w:p>
          <w:p w14:paraId="4B64D093">
            <w:pPr>
              <w:spacing w:line="480" w:lineRule="exact"/>
              <w:ind w:firstLine="482" w:firstLineChars="200"/>
              <w:jc w:val="left"/>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7、环保投资</w:t>
            </w:r>
          </w:p>
          <w:p w14:paraId="27972264">
            <w:pPr>
              <w:spacing w:line="480" w:lineRule="exact"/>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表2-7环保投资一览表</w:t>
            </w:r>
          </w:p>
          <w:tbl>
            <w:tblPr>
              <w:tblStyle w:val="33"/>
              <w:tblW w:w="482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39"/>
              <w:gridCol w:w="491"/>
              <w:gridCol w:w="1063"/>
              <w:gridCol w:w="3669"/>
              <w:gridCol w:w="1056"/>
            </w:tblGrid>
            <w:tr w14:paraId="58C014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74" w:hRule="atLeast"/>
                <w:jc w:val="center"/>
              </w:trPr>
              <w:tc>
                <w:tcPr>
                  <w:tcW w:w="462" w:type="pct"/>
                  <w:vAlign w:val="center"/>
                </w:tcPr>
                <w:p w14:paraId="645E9C93">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阶段</w:t>
                  </w:r>
                </w:p>
              </w:tc>
              <w:tc>
                <w:tcPr>
                  <w:tcW w:w="1123" w:type="pct"/>
                  <w:gridSpan w:val="2"/>
                  <w:vAlign w:val="center"/>
                </w:tcPr>
                <w:p w14:paraId="428AF2B3">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污染源</w:t>
                  </w:r>
                </w:p>
              </w:tc>
              <w:tc>
                <w:tcPr>
                  <w:tcW w:w="2651" w:type="pct"/>
                  <w:vAlign w:val="center"/>
                </w:tcPr>
                <w:p w14:paraId="6DDF50FB">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本项目环保措施</w:t>
                  </w:r>
                </w:p>
              </w:tc>
              <w:tc>
                <w:tcPr>
                  <w:tcW w:w="763" w:type="pct"/>
                  <w:vAlign w:val="center"/>
                </w:tcPr>
                <w:p w14:paraId="2AD01D3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金额</w:t>
                  </w:r>
                </w:p>
                <w:p w14:paraId="7B69FD4F">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（万元）</w:t>
                  </w:r>
                </w:p>
              </w:tc>
            </w:tr>
            <w:tr w14:paraId="5CEFAC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58" w:hRule="atLeast"/>
                <w:jc w:val="center"/>
              </w:trPr>
              <w:tc>
                <w:tcPr>
                  <w:tcW w:w="462" w:type="pct"/>
                  <w:vMerge w:val="restart"/>
                  <w:tcBorders>
                    <w:right w:val="single" w:color="auto" w:sz="4" w:space="0"/>
                  </w:tcBorders>
                  <w:vAlign w:val="center"/>
                </w:tcPr>
                <w:p w14:paraId="2D6A6A15">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运</w:t>
                  </w:r>
                </w:p>
                <w:p w14:paraId="5354252A">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营</w:t>
                  </w:r>
                </w:p>
                <w:p w14:paraId="39994970">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期</w:t>
                  </w:r>
                </w:p>
              </w:tc>
              <w:tc>
                <w:tcPr>
                  <w:tcW w:w="355" w:type="pct"/>
                  <w:tcBorders>
                    <w:left w:val="single" w:color="auto" w:sz="4" w:space="0"/>
                  </w:tcBorders>
                  <w:vAlign w:val="center"/>
                </w:tcPr>
                <w:p w14:paraId="5C171C7C">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废气治理</w:t>
                  </w:r>
                </w:p>
              </w:tc>
              <w:tc>
                <w:tcPr>
                  <w:tcW w:w="767" w:type="pct"/>
                  <w:vAlign w:val="center"/>
                </w:tcPr>
                <w:p w14:paraId="42A74680">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生产车间有组织废气</w:t>
                  </w:r>
                </w:p>
              </w:tc>
              <w:tc>
                <w:tcPr>
                  <w:tcW w:w="2651" w:type="pct"/>
                  <w:vAlign w:val="center"/>
                </w:tcPr>
                <w:p w14:paraId="335A60AC">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集气罩+布袋除尘器+15m高排气筒</w:t>
                  </w:r>
                </w:p>
              </w:tc>
              <w:tc>
                <w:tcPr>
                  <w:tcW w:w="763" w:type="pct"/>
                  <w:vAlign w:val="center"/>
                </w:tcPr>
                <w:p w14:paraId="4701155F">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8</w:t>
                  </w:r>
                </w:p>
              </w:tc>
            </w:tr>
            <w:tr w14:paraId="583043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462" w:type="pct"/>
                  <w:vMerge w:val="continue"/>
                  <w:tcBorders>
                    <w:right w:val="single" w:color="auto" w:sz="4" w:space="0"/>
                  </w:tcBorders>
                  <w:vAlign w:val="center"/>
                </w:tcPr>
                <w:p w14:paraId="13C88B73">
                  <w:pPr>
                    <w:pStyle w:val="73"/>
                    <w:rPr>
                      <w:rFonts w:cs="Times New Roman"/>
                      <w:color w:val="000000" w:themeColor="text1"/>
                      <w:sz w:val="24"/>
                      <w:szCs w:val="24"/>
                      <w14:textFill>
                        <w14:solidFill>
                          <w14:schemeClr w14:val="tx1"/>
                        </w14:solidFill>
                      </w14:textFill>
                    </w:rPr>
                  </w:pPr>
                </w:p>
              </w:tc>
              <w:tc>
                <w:tcPr>
                  <w:tcW w:w="1123" w:type="pct"/>
                  <w:gridSpan w:val="2"/>
                  <w:tcBorders>
                    <w:left w:val="single" w:color="auto" w:sz="4" w:space="0"/>
                  </w:tcBorders>
                  <w:vAlign w:val="center"/>
                </w:tcPr>
                <w:p w14:paraId="34ADDF5E">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废水治理</w:t>
                  </w:r>
                </w:p>
              </w:tc>
              <w:tc>
                <w:tcPr>
                  <w:tcW w:w="2651" w:type="pct"/>
                  <w:vAlign w:val="center"/>
                </w:tcPr>
                <w:p w14:paraId="342611A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防渗旱厕。</w:t>
                  </w:r>
                </w:p>
              </w:tc>
              <w:tc>
                <w:tcPr>
                  <w:tcW w:w="763" w:type="pct"/>
                  <w:vAlign w:val="center"/>
                </w:tcPr>
                <w:p w14:paraId="75ABD97A">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0.5</w:t>
                  </w:r>
                </w:p>
              </w:tc>
            </w:tr>
            <w:tr w14:paraId="067E2E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44" w:hRule="atLeast"/>
                <w:jc w:val="center"/>
              </w:trPr>
              <w:tc>
                <w:tcPr>
                  <w:tcW w:w="462" w:type="pct"/>
                  <w:vMerge w:val="continue"/>
                  <w:tcBorders>
                    <w:right w:val="single" w:color="auto" w:sz="4" w:space="0"/>
                  </w:tcBorders>
                  <w:vAlign w:val="center"/>
                </w:tcPr>
                <w:p w14:paraId="2A287EE3">
                  <w:pPr>
                    <w:pStyle w:val="73"/>
                    <w:rPr>
                      <w:rFonts w:cs="Times New Roman"/>
                      <w:color w:val="000000" w:themeColor="text1"/>
                      <w:sz w:val="24"/>
                      <w:szCs w:val="24"/>
                      <w14:textFill>
                        <w14:solidFill>
                          <w14:schemeClr w14:val="tx1"/>
                        </w14:solidFill>
                      </w14:textFill>
                    </w:rPr>
                  </w:pPr>
                </w:p>
              </w:tc>
              <w:tc>
                <w:tcPr>
                  <w:tcW w:w="1123" w:type="pct"/>
                  <w:gridSpan w:val="2"/>
                  <w:tcBorders>
                    <w:left w:val="single" w:color="auto" w:sz="4" w:space="0"/>
                  </w:tcBorders>
                  <w:vAlign w:val="center"/>
                </w:tcPr>
                <w:p w14:paraId="09DBF7C2">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噪声治理</w:t>
                  </w:r>
                </w:p>
              </w:tc>
              <w:tc>
                <w:tcPr>
                  <w:tcW w:w="2651" w:type="pct"/>
                  <w:vAlign w:val="center"/>
                </w:tcPr>
                <w:p w14:paraId="077919D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选用低噪声设备，通过减振、隔声、降噪等措施</w:t>
                  </w:r>
                </w:p>
              </w:tc>
              <w:tc>
                <w:tcPr>
                  <w:tcW w:w="763" w:type="pct"/>
                  <w:vAlign w:val="center"/>
                </w:tcPr>
                <w:p w14:paraId="2E584F9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2</w:t>
                  </w:r>
                </w:p>
              </w:tc>
            </w:tr>
            <w:tr w14:paraId="48C081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462" w:type="pct"/>
                  <w:vMerge w:val="continue"/>
                  <w:tcBorders>
                    <w:right w:val="single" w:color="auto" w:sz="4" w:space="0"/>
                  </w:tcBorders>
                  <w:vAlign w:val="center"/>
                </w:tcPr>
                <w:p w14:paraId="1BDB6C41">
                  <w:pPr>
                    <w:pStyle w:val="73"/>
                    <w:rPr>
                      <w:rFonts w:cs="Times New Roman"/>
                      <w:color w:val="000000" w:themeColor="text1"/>
                      <w:sz w:val="24"/>
                      <w:szCs w:val="24"/>
                      <w14:textFill>
                        <w14:solidFill>
                          <w14:schemeClr w14:val="tx1"/>
                        </w14:solidFill>
                      </w14:textFill>
                    </w:rPr>
                  </w:pPr>
                </w:p>
              </w:tc>
              <w:tc>
                <w:tcPr>
                  <w:tcW w:w="1123" w:type="pct"/>
                  <w:gridSpan w:val="2"/>
                  <w:tcBorders>
                    <w:left w:val="single" w:color="auto" w:sz="4" w:space="0"/>
                  </w:tcBorders>
                  <w:vAlign w:val="center"/>
                </w:tcPr>
                <w:p w14:paraId="4B0CF054">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固废治理</w:t>
                  </w:r>
                </w:p>
              </w:tc>
              <w:tc>
                <w:tcPr>
                  <w:tcW w:w="2651" w:type="pct"/>
                  <w:vAlign w:val="center"/>
                </w:tcPr>
                <w:p w14:paraId="4795EBD6">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垃圾桶</w:t>
                  </w:r>
                </w:p>
              </w:tc>
              <w:tc>
                <w:tcPr>
                  <w:tcW w:w="763" w:type="pct"/>
                  <w:vAlign w:val="center"/>
                </w:tcPr>
                <w:p w14:paraId="4A15F115">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0.5</w:t>
                  </w:r>
                </w:p>
              </w:tc>
            </w:tr>
            <w:tr w14:paraId="3D0AF7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462" w:type="pct"/>
                  <w:vMerge w:val="continue"/>
                  <w:tcBorders>
                    <w:right w:val="single" w:color="auto" w:sz="4" w:space="0"/>
                  </w:tcBorders>
                  <w:vAlign w:val="center"/>
                </w:tcPr>
                <w:p w14:paraId="26A96401">
                  <w:pPr>
                    <w:pStyle w:val="73"/>
                    <w:rPr>
                      <w:rFonts w:cs="Times New Roman"/>
                      <w:color w:val="000000" w:themeColor="text1"/>
                      <w:sz w:val="24"/>
                      <w:szCs w:val="24"/>
                      <w14:textFill>
                        <w14:solidFill>
                          <w14:schemeClr w14:val="tx1"/>
                        </w14:solidFill>
                      </w14:textFill>
                    </w:rPr>
                  </w:pPr>
                </w:p>
              </w:tc>
              <w:tc>
                <w:tcPr>
                  <w:tcW w:w="3774" w:type="pct"/>
                  <w:gridSpan w:val="3"/>
                  <w:tcBorders>
                    <w:left w:val="single" w:color="auto" w:sz="4" w:space="0"/>
                  </w:tcBorders>
                  <w:vAlign w:val="center"/>
                </w:tcPr>
                <w:p w14:paraId="53A9594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验收、监测、运行维护费用</w:t>
                  </w:r>
                </w:p>
              </w:tc>
              <w:tc>
                <w:tcPr>
                  <w:tcW w:w="763" w:type="pct"/>
                  <w:vAlign w:val="center"/>
                </w:tcPr>
                <w:p w14:paraId="71639D54">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4</w:t>
                  </w:r>
                </w:p>
              </w:tc>
            </w:tr>
            <w:tr w14:paraId="4F339D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4236" w:type="pct"/>
                  <w:gridSpan w:val="4"/>
                  <w:vAlign w:val="center"/>
                </w:tcPr>
                <w:p w14:paraId="411432A8">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合计</w:t>
                  </w:r>
                </w:p>
              </w:tc>
              <w:tc>
                <w:tcPr>
                  <w:tcW w:w="763" w:type="pct"/>
                  <w:vAlign w:val="center"/>
                </w:tcPr>
                <w:p w14:paraId="2CBFF94C">
                  <w:pPr>
                    <w:widowControl/>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15</w:t>
                  </w:r>
                </w:p>
              </w:tc>
            </w:tr>
            <w:tr w14:paraId="5D9D09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4236" w:type="pct"/>
                  <w:gridSpan w:val="4"/>
                  <w:vAlign w:val="center"/>
                </w:tcPr>
                <w:p w14:paraId="2B18971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总投资</w:t>
                  </w:r>
                </w:p>
              </w:tc>
              <w:tc>
                <w:tcPr>
                  <w:tcW w:w="763" w:type="pct"/>
                  <w:vAlign w:val="center"/>
                </w:tcPr>
                <w:p w14:paraId="4C9B7D5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200</w:t>
                  </w:r>
                </w:p>
              </w:tc>
            </w:tr>
            <w:tr w14:paraId="7BA473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4236" w:type="pct"/>
                  <w:gridSpan w:val="4"/>
                  <w:vAlign w:val="center"/>
                </w:tcPr>
                <w:p w14:paraId="63B223F1">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环保投资比</w:t>
                  </w:r>
                </w:p>
              </w:tc>
              <w:tc>
                <w:tcPr>
                  <w:tcW w:w="763" w:type="pct"/>
                  <w:vAlign w:val="center"/>
                </w:tcPr>
                <w:p w14:paraId="0B46F0C8">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7.5%</w:t>
                  </w:r>
                </w:p>
              </w:tc>
            </w:tr>
          </w:tbl>
          <w:p w14:paraId="55D14DDD">
            <w:pPr>
              <w:pStyle w:val="31"/>
              <w:adjustRightInd w:val="0"/>
              <w:spacing w:after="0" w:line="500" w:lineRule="exact"/>
              <w:ind w:firstLine="482" w:firstLineChars="200"/>
              <w:rPr>
                <w:rFonts w:eastAsia="宋体"/>
                <w:b/>
                <w:bCs/>
                <w:color w:val="000000" w:themeColor="text1"/>
                <w:sz w:val="24"/>
                <w:szCs w:val="24"/>
                <w14:textFill>
                  <w14:solidFill>
                    <w14:schemeClr w14:val="tx1"/>
                  </w14:solidFill>
                </w14:textFill>
              </w:rPr>
            </w:pPr>
            <w:r>
              <w:rPr>
                <w:rFonts w:eastAsia="宋体"/>
                <w:b/>
                <w:bCs/>
                <w:color w:val="000000" w:themeColor="text1"/>
                <w:sz w:val="24"/>
                <w:szCs w:val="24"/>
                <w14:textFill>
                  <w14:solidFill>
                    <w14:schemeClr w14:val="tx1"/>
                  </w14:solidFill>
                </w14:textFill>
              </w:rPr>
              <w:t>8、劳动定员与工作制</w:t>
            </w:r>
          </w:p>
          <w:p w14:paraId="1BBFBBD6">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本项目建成工作人员10人，年工作时间为240d/a，8h/d，</w:t>
            </w:r>
            <w:r>
              <w:rPr>
                <w:rFonts w:eastAsia="宋体"/>
                <w:bCs/>
                <w:color w:val="000000" w:themeColor="text1"/>
                <w:sz w:val="24"/>
                <w14:textFill>
                  <w14:solidFill>
                    <w14:schemeClr w14:val="tx1"/>
                  </w14:solidFill>
                </w14:textFill>
              </w:rPr>
              <w:t>1班制，</w:t>
            </w:r>
            <w:r>
              <w:rPr>
                <w:rFonts w:eastAsia="宋体"/>
                <w:color w:val="000000" w:themeColor="text1"/>
                <w:sz w:val="24"/>
                <w14:textFill>
                  <w14:solidFill>
                    <w14:schemeClr w14:val="tx1"/>
                  </w14:solidFill>
                </w14:textFill>
              </w:rPr>
              <w:t>本项目不设置食堂及宿舍。</w:t>
            </w:r>
          </w:p>
          <w:p w14:paraId="292084BA">
            <w:pPr>
              <w:pStyle w:val="31"/>
              <w:adjustRightInd w:val="0"/>
              <w:spacing w:after="0" w:line="500" w:lineRule="exact"/>
              <w:ind w:firstLine="482" w:firstLineChars="200"/>
              <w:rPr>
                <w:rFonts w:eastAsia="宋体"/>
                <w:b/>
                <w:bCs/>
                <w:color w:val="000000" w:themeColor="text1"/>
                <w:sz w:val="24"/>
                <w:szCs w:val="24"/>
                <w14:textFill>
                  <w14:solidFill>
                    <w14:schemeClr w14:val="tx1"/>
                  </w14:solidFill>
                </w14:textFill>
              </w:rPr>
            </w:pPr>
            <w:r>
              <w:rPr>
                <w:rFonts w:eastAsia="宋体"/>
                <w:b/>
                <w:bCs/>
                <w:color w:val="000000" w:themeColor="text1"/>
                <w:sz w:val="24"/>
                <w:szCs w:val="24"/>
                <w14:textFill>
                  <w14:solidFill>
                    <w14:schemeClr w14:val="tx1"/>
                  </w14:solidFill>
                </w14:textFill>
              </w:rPr>
              <w:t>9、总平面布置</w:t>
            </w:r>
          </w:p>
          <w:p w14:paraId="1063AC5C">
            <w:pPr>
              <w:pStyle w:val="31"/>
              <w:adjustRightInd w:val="0"/>
              <w:spacing w:after="0" w:line="500" w:lineRule="exact"/>
              <w:ind w:firstLine="480" w:firstLineChars="200"/>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本项目总占地面积16716m</w:t>
            </w:r>
            <w:r>
              <w:rPr>
                <w:rFonts w:eastAsia="宋体"/>
                <w:color w:val="000000" w:themeColor="text1"/>
                <w:sz w:val="24"/>
                <w:szCs w:val="24"/>
                <w:vertAlign w:val="superscript"/>
                <w14:textFill>
                  <w14:solidFill>
                    <w14:schemeClr w14:val="tx1"/>
                  </w14:solidFill>
                </w14:textFill>
              </w:rPr>
              <w:t>2</w:t>
            </w:r>
            <w:r>
              <w:rPr>
                <w:rFonts w:eastAsia="宋体"/>
                <w:color w:val="000000" w:themeColor="text1"/>
                <w:sz w:val="24"/>
                <w:szCs w:val="24"/>
                <w14:textFill>
                  <w14:solidFill>
                    <w14:schemeClr w14:val="tx1"/>
                  </w14:solidFill>
                </w14:textFill>
              </w:rPr>
              <w:t>，原料库房位于厂区南侧；生产车间及成品库位于厂区南侧，生产车间位于原料库及成品库之间；门卫室位于厂区北侧。项目平面布置功能分区合理，各个建筑物的布置均满足生产、生活需要。项目选址道路系统完善，有利于原料及成品的运输。因此，本项目平面布置合理。</w:t>
            </w:r>
          </w:p>
        </w:tc>
      </w:tr>
      <w:tr w14:paraId="6CF6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3" w:type="dxa"/>
            <w:vMerge w:val="restart"/>
            <w:vAlign w:val="center"/>
          </w:tcPr>
          <w:p w14:paraId="6274F9EB">
            <w:pPr>
              <w:pStyle w:val="28"/>
              <w:adjustRightInd w:val="0"/>
              <w:snapToGrid w:val="0"/>
              <w:spacing w:before="0" w:beforeAutospacing="0" w:after="0" w:afterAutospacing="0"/>
              <w:jc w:val="center"/>
              <w:rPr>
                <w:rFonts w:ascii="Times New Roman" w:hAnsi="Times New Roman" w:eastAsia="宋体"/>
                <w:b/>
                <w:color w:val="000000" w:themeColor="text1"/>
                <w:szCs w:val="24"/>
                <w14:textFill>
                  <w14:solidFill>
                    <w14:schemeClr w14:val="tx1"/>
                  </w14:solidFill>
                </w14:textFill>
              </w:rPr>
            </w:pPr>
            <w:r>
              <w:rPr>
                <w:rFonts w:ascii="Times New Roman" w:hAnsi="Times New Roman" w:eastAsia="宋体"/>
                <w:b/>
                <w:color w:val="000000" w:themeColor="text1"/>
                <w:szCs w:val="24"/>
                <w14:textFill>
                  <w14:solidFill>
                    <w14:schemeClr w14:val="tx1"/>
                  </w14:solidFill>
                </w14:textFill>
              </w:rPr>
              <w:t>工艺流程和产排污环节</w:t>
            </w:r>
          </w:p>
        </w:tc>
        <w:tc>
          <w:tcPr>
            <w:tcW w:w="7383" w:type="dxa"/>
          </w:tcPr>
          <w:p w14:paraId="24086CCC">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1、施工期</w:t>
            </w:r>
          </w:p>
          <w:p w14:paraId="3F5078F1">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本项目依托原有厂房安装生产设备、环保设备，不进行大型土建施工，</w:t>
            </w:r>
            <w:r>
              <w:rPr>
                <w:rFonts w:eastAsia="宋体"/>
                <w:bCs/>
                <w:color w:val="000000" w:themeColor="text1"/>
                <w:kern w:val="18"/>
                <w:sz w:val="24"/>
                <w14:textFill>
                  <w14:solidFill>
                    <w14:schemeClr w14:val="tx1"/>
                  </w14:solidFill>
                </w14:textFill>
              </w:rPr>
              <w:t>产生的主要污染物为设备安装噪声、少量扬尘，随着施工期的结束而消失，对周围环境影响较小</w:t>
            </w:r>
            <w:r>
              <w:rPr>
                <w:rFonts w:eastAsia="宋体"/>
                <w:color w:val="000000" w:themeColor="text1"/>
                <w:sz w:val="24"/>
                <w14:textFill>
                  <w14:solidFill>
                    <w14:schemeClr w14:val="tx1"/>
                  </w14:solidFill>
                </w14:textFill>
              </w:rPr>
              <w:t>。因此本项目不对施工期进行分析。本项目主要影响来源于运营期。</w:t>
            </w:r>
          </w:p>
          <w:p w14:paraId="698DFD09">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2、营运期</w:t>
            </w:r>
          </w:p>
          <w:p w14:paraId="042C0E87">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bookmarkStart w:id="28" w:name="_Hlk84352697"/>
            <w:r>
              <w:rPr>
                <w:rFonts w:eastAsia="宋体"/>
                <w:color w:val="000000" w:themeColor="text1"/>
                <w:sz w:val="24"/>
                <w14:textFill>
                  <w14:solidFill>
                    <w14:schemeClr w14:val="tx1"/>
                  </w14:solidFill>
                </w14:textFill>
              </w:rPr>
              <w:t>氮肥工艺流程简述</w:t>
            </w:r>
          </w:p>
          <w:p w14:paraId="1ABDC50C">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bookmarkStart w:id="29" w:name="_Hlk84530830"/>
            <w:r>
              <w:rPr>
                <w:rFonts w:eastAsia="宋体"/>
                <w:color w:val="000000" w:themeColor="text1"/>
                <w:sz w:val="24"/>
                <w14:textFill>
                  <w14:solidFill>
                    <w14:schemeClr w14:val="tx1"/>
                  </w14:solidFill>
                </w14:textFill>
              </w:rPr>
              <w:t>1、原料准备与破碎工序</w:t>
            </w:r>
          </w:p>
          <w:p w14:paraId="597638B3">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外购的硫酸铵原料首先进入破碎筛分单元。此工序通过粉碎机将大块原料粉碎，进入搅拌机搅拌。此过程会产生少量的粉尘废气（G）、筛余杂质固废（S） 以及设备运行的噪声（N）。</w:t>
            </w:r>
          </w:p>
          <w:p w14:paraId="39BE0AAB">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2、对辊挤压成型工序</w:t>
            </w:r>
          </w:p>
          <w:p w14:paraId="52167582">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预处理的物料被送入制粒机。在两个高压轧辊的挤压下，物料被强制压制成高密度的条状料带，随后经过内置的破碎装置打散，再通过筛分机分级。符合粒径要求的颗粒进入下一工序，而不合格的细粉则通过返料系统循环回挤压机前端重新制粒，实现原料的完全利用。此工序是产线的核心，运行时主要产生设备噪声（N）。</w:t>
            </w:r>
          </w:p>
          <w:p w14:paraId="3CB57AE0">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3、装袋包装工序</w:t>
            </w:r>
          </w:p>
          <w:p w14:paraId="1ECB6318">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冷却至室温的合格颗粒产品，经计量后进入装袋包装单元，进行称重、封口和码垛，最终入库待售。此工序为产线末端，产污环节少，此过程会产生少量的粉尘废气（G）、筛余杂质固废（S） 以及设备运行的噪声（N）。</w:t>
            </w:r>
          </w:p>
          <w:bookmarkEnd w:id="29"/>
          <w:p w14:paraId="34BB4902">
            <w:pPr>
              <w:adjustRightInd w:val="0"/>
              <w:snapToGrid w:val="0"/>
              <w:spacing w:line="500" w:lineRule="exact"/>
              <w:ind w:firstLine="480" w:firstLineChars="200"/>
              <w:textAlignment w:val="baseline"/>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工艺流程及产污节点图见图2-2。</w:t>
            </w:r>
          </w:p>
          <w:p w14:paraId="03EF5F7B">
            <w:pPr>
              <w:adjustRightInd w:val="0"/>
              <w:snapToGrid w:val="0"/>
              <w:rPr>
                <w:rFonts w:eastAsia="宋体"/>
                <w:color w:val="000000" w:themeColor="text1"/>
                <w:sz w:val="24"/>
                <w14:textFill>
                  <w14:solidFill>
                    <w14:schemeClr w14:val="tx1"/>
                  </w14:solidFill>
                </w14:textFill>
              </w:rPr>
            </w:pPr>
            <w:r>
              <w:rPr>
                <w:rFonts w:eastAsia="宋体"/>
                <w:color w:val="000000" w:themeColor="text1"/>
                <w14:textFill>
                  <w14:solidFill>
                    <w14:schemeClr w14:val="tx1"/>
                  </w14:solidFill>
                </w14:textFill>
              </w:rPr>
              <w:drawing>
                <wp:inline distT="0" distB="0" distL="114300" distR="114300">
                  <wp:extent cx="4410075" cy="4486275"/>
                  <wp:effectExtent l="0" t="0" r="9525" b="9525"/>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25"/>
                          <a:stretch>
                            <a:fillRect/>
                          </a:stretch>
                        </pic:blipFill>
                        <pic:spPr>
                          <a:xfrm>
                            <a:off x="0" y="0"/>
                            <a:ext cx="4410075" cy="4486275"/>
                          </a:xfrm>
                          <a:prstGeom prst="rect">
                            <a:avLst/>
                          </a:prstGeom>
                          <a:noFill/>
                          <a:ln>
                            <a:noFill/>
                          </a:ln>
                        </pic:spPr>
                      </pic:pic>
                    </a:graphicData>
                  </a:graphic>
                </wp:inline>
              </w:drawing>
            </w:r>
          </w:p>
          <w:p w14:paraId="32504972">
            <w:pPr>
              <w:adjustRightInd w:val="0"/>
              <w:snapToGrid w:val="0"/>
              <w:spacing w:line="500" w:lineRule="exact"/>
              <w:jc w:val="center"/>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图2-2工艺流程及产排污节点图</w:t>
            </w:r>
            <w:bookmarkEnd w:id="28"/>
          </w:p>
        </w:tc>
      </w:tr>
      <w:tr w14:paraId="08E1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3" w:type="dxa"/>
            <w:vMerge w:val="continue"/>
            <w:vAlign w:val="center"/>
          </w:tcPr>
          <w:p w14:paraId="26F2F8EA">
            <w:pPr>
              <w:pStyle w:val="28"/>
              <w:adjustRightInd w:val="0"/>
              <w:snapToGrid w:val="0"/>
              <w:spacing w:before="0" w:beforeAutospacing="0" w:after="0" w:afterAutospacing="0"/>
              <w:jc w:val="center"/>
              <w:rPr>
                <w:rFonts w:ascii="Times New Roman" w:hAnsi="Times New Roman" w:eastAsia="宋体"/>
                <w:b/>
                <w:color w:val="000000" w:themeColor="text1"/>
                <w:szCs w:val="24"/>
                <w14:textFill>
                  <w14:solidFill>
                    <w14:schemeClr w14:val="tx1"/>
                  </w14:solidFill>
                </w14:textFill>
              </w:rPr>
            </w:pPr>
          </w:p>
        </w:tc>
        <w:tc>
          <w:tcPr>
            <w:tcW w:w="7383" w:type="dxa"/>
            <w:vAlign w:val="center"/>
          </w:tcPr>
          <w:p w14:paraId="29F8FDB6">
            <w:pPr>
              <w:adjustRightInd w:val="0"/>
              <w:snapToGrid w:val="0"/>
              <w:spacing w:line="500" w:lineRule="exact"/>
              <w:jc w:val="center"/>
              <w:rPr>
                <w:rFonts w:eastAsia="宋体"/>
                <w:b/>
                <w:bCs/>
                <w:color w:val="000000" w:themeColor="text1"/>
                <w:sz w:val="24"/>
                <w14:textFill>
                  <w14:solidFill>
                    <w14:schemeClr w14:val="tx1"/>
                  </w14:solidFill>
                </w14:textFill>
              </w:rPr>
            </w:pPr>
          </w:p>
          <w:p w14:paraId="622D3163">
            <w:pPr>
              <w:adjustRightInd w:val="0"/>
              <w:snapToGrid w:val="0"/>
              <w:spacing w:line="500" w:lineRule="exact"/>
              <w:jc w:val="center"/>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表2-8本项目运营期工程主要产排污节点一览表</w:t>
            </w:r>
          </w:p>
          <w:tbl>
            <w:tblPr>
              <w:tblStyle w:val="33"/>
              <w:tblW w:w="722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133"/>
              <w:gridCol w:w="2987"/>
              <w:gridCol w:w="2339"/>
              <w:gridCol w:w="26"/>
            </w:tblGrid>
            <w:tr w14:paraId="19EA31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20" w:hRule="atLeast"/>
                <w:jc w:val="center"/>
              </w:trPr>
              <w:tc>
                <w:tcPr>
                  <w:tcW w:w="736" w:type="dxa"/>
                  <w:vAlign w:val="center"/>
                </w:tcPr>
                <w:p w14:paraId="1D27EBD0">
                  <w:pPr>
                    <w:jc w:val="center"/>
                    <w:rPr>
                      <w:rFonts w:eastAsia="宋体"/>
                      <w:color w:val="000000" w:themeColor="text1"/>
                      <w:sz w:val="24"/>
                      <w14:textFill>
                        <w14:solidFill>
                          <w14:schemeClr w14:val="tx1"/>
                        </w14:solidFill>
                      </w14:textFill>
                    </w:rPr>
                  </w:pPr>
                  <w:bookmarkStart w:id="30" w:name="_Hlk84531154"/>
                  <w:r>
                    <w:rPr>
                      <w:rFonts w:eastAsia="宋体"/>
                      <w:color w:val="000000" w:themeColor="text1"/>
                      <w:sz w:val="24"/>
                      <w14:textFill>
                        <w14:solidFill>
                          <w14:schemeClr w14:val="tx1"/>
                        </w14:solidFill>
                      </w14:textFill>
                    </w:rPr>
                    <w:t>污染类别</w:t>
                  </w:r>
                </w:p>
              </w:tc>
              <w:tc>
                <w:tcPr>
                  <w:tcW w:w="1133" w:type="dxa"/>
                  <w:vAlign w:val="center"/>
                </w:tcPr>
                <w:p w14:paraId="5C4F3D8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主要污染源</w:t>
                  </w:r>
                </w:p>
              </w:tc>
              <w:tc>
                <w:tcPr>
                  <w:tcW w:w="2987" w:type="dxa"/>
                  <w:vAlign w:val="center"/>
                </w:tcPr>
                <w:p w14:paraId="63A76F0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产生工序</w:t>
                  </w:r>
                </w:p>
              </w:tc>
              <w:tc>
                <w:tcPr>
                  <w:tcW w:w="2339" w:type="dxa"/>
                  <w:vAlign w:val="center"/>
                </w:tcPr>
                <w:p w14:paraId="427CE54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主要影响因子</w:t>
                  </w:r>
                </w:p>
              </w:tc>
            </w:tr>
            <w:tr w14:paraId="36A53A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36" w:type="dxa"/>
                  <w:vAlign w:val="center"/>
                </w:tcPr>
                <w:p w14:paraId="0199D4A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废气</w:t>
                  </w:r>
                </w:p>
              </w:tc>
              <w:tc>
                <w:tcPr>
                  <w:tcW w:w="1133" w:type="dxa"/>
                  <w:vAlign w:val="center"/>
                </w:tcPr>
                <w:p w14:paraId="05FE6F6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生产区</w:t>
                  </w:r>
                </w:p>
              </w:tc>
              <w:tc>
                <w:tcPr>
                  <w:tcW w:w="2987" w:type="dxa"/>
                  <w:vAlign w:val="center"/>
                </w:tcPr>
                <w:p w14:paraId="699989BE">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生产工段</w:t>
                  </w:r>
                </w:p>
              </w:tc>
              <w:tc>
                <w:tcPr>
                  <w:tcW w:w="2365" w:type="dxa"/>
                  <w:gridSpan w:val="2"/>
                  <w:vAlign w:val="center"/>
                </w:tcPr>
                <w:p w14:paraId="09B99F6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颗粒物</w:t>
                  </w:r>
                </w:p>
              </w:tc>
            </w:tr>
            <w:tr w14:paraId="0E7AC9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6" w:type="dxa"/>
                  <w:vAlign w:val="center"/>
                </w:tcPr>
                <w:p w14:paraId="5EF9F929">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废水</w:t>
                  </w:r>
                </w:p>
              </w:tc>
              <w:tc>
                <w:tcPr>
                  <w:tcW w:w="1133" w:type="dxa"/>
                  <w:vAlign w:val="center"/>
                </w:tcPr>
                <w:p w14:paraId="648D5E9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生活污水</w:t>
                  </w:r>
                </w:p>
              </w:tc>
              <w:tc>
                <w:tcPr>
                  <w:tcW w:w="2987" w:type="dxa"/>
                  <w:vAlign w:val="center"/>
                </w:tcPr>
                <w:p w14:paraId="0ACA8222">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职工生活</w:t>
                  </w:r>
                </w:p>
              </w:tc>
              <w:tc>
                <w:tcPr>
                  <w:tcW w:w="2365" w:type="dxa"/>
                  <w:gridSpan w:val="2"/>
                  <w:vAlign w:val="center"/>
                </w:tcPr>
                <w:p w14:paraId="51C2ADDA">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COD、SS、NH</w:t>
                  </w:r>
                  <w:r>
                    <w:rPr>
                      <w:rFonts w:eastAsia="宋体"/>
                      <w:color w:val="000000" w:themeColor="text1"/>
                      <w:sz w:val="24"/>
                      <w:vertAlign w:val="subscript"/>
                      <w14:textFill>
                        <w14:solidFill>
                          <w14:schemeClr w14:val="tx1"/>
                        </w14:solidFill>
                      </w14:textFill>
                    </w:rPr>
                    <w:t>3</w:t>
                  </w:r>
                  <w:r>
                    <w:rPr>
                      <w:rFonts w:eastAsia="宋体"/>
                      <w:color w:val="000000" w:themeColor="text1"/>
                      <w:sz w:val="24"/>
                      <w14:textFill>
                        <w14:solidFill>
                          <w14:schemeClr w14:val="tx1"/>
                        </w14:solidFill>
                      </w14:textFill>
                    </w:rPr>
                    <w:t>-N</w:t>
                  </w:r>
                </w:p>
              </w:tc>
            </w:tr>
            <w:tr w14:paraId="2F0C5A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6" w:type="dxa"/>
                  <w:vAlign w:val="center"/>
                </w:tcPr>
                <w:p w14:paraId="435EF51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噪声</w:t>
                  </w:r>
                </w:p>
              </w:tc>
              <w:tc>
                <w:tcPr>
                  <w:tcW w:w="1133" w:type="dxa"/>
                  <w:vAlign w:val="center"/>
                </w:tcPr>
                <w:p w14:paraId="14CB5F6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生产区</w:t>
                  </w:r>
                </w:p>
              </w:tc>
              <w:tc>
                <w:tcPr>
                  <w:tcW w:w="2987" w:type="dxa"/>
                  <w:vAlign w:val="center"/>
                </w:tcPr>
                <w:p w14:paraId="677089B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粉碎机、筛分机、传送带等设备运行</w:t>
                  </w:r>
                </w:p>
              </w:tc>
              <w:tc>
                <w:tcPr>
                  <w:tcW w:w="2365" w:type="dxa"/>
                  <w:gridSpan w:val="2"/>
                  <w:vAlign w:val="center"/>
                </w:tcPr>
                <w:p w14:paraId="5BEA2F6F">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机械噪声</w:t>
                  </w:r>
                </w:p>
              </w:tc>
            </w:tr>
            <w:tr w14:paraId="1BDB8C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6" w:type="dxa"/>
                  <w:vMerge w:val="restart"/>
                  <w:vAlign w:val="center"/>
                </w:tcPr>
                <w:p w14:paraId="5637CC7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固体废物</w:t>
                  </w:r>
                </w:p>
              </w:tc>
              <w:tc>
                <w:tcPr>
                  <w:tcW w:w="1133" w:type="dxa"/>
                  <w:vAlign w:val="center"/>
                </w:tcPr>
                <w:p w14:paraId="17A9BE8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办公生活</w:t>
                  </w:r>
                </w:p>
              </w:tc>
              <w:tc>
                <w:tcPr>
                  <w:tcW w:w="2987" w:type="dxa"/>
                  <w:vAlign w:val="center"/>
                </w:tcPr>
                <w:p w14:paraId="207F29E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职工生活</w:t>
                  </w:r>
                </w:p>
              </w:tc>
              <w:tc>
                <w:tcPr>
                  <w:tcW w:w="2365" w:type="dxa"/>
                  <w:gridSpan w:val="2"/>
                  <w:vAlign w:val="center"/>
                </w:tcPr>
                <w:p w14:paraId="7190432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生活垃圾</w:t>
                  </w:r>
                </w:p>
              </w:tc>
            </w:tr>
            <w:tr w14:paraId="040FC2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6" w:type="dxa"/>
                  <w:vMerge w:val="continue"/>
                  <w:vAlign w:val="center"/>
                </w:tcPr>
                <w:p w14:paraId="0AE2D44C">
                  <w:pPr>
                    <w:jc w:val="center"/>
                    <w:rPr>
                      <w:rFonts w:eastAsia="宋体"/>
                      <w:color w:val="000000" w:themeColor="text1"/>
                      <w:sz w:val="24"/>
                      <w14:textFill>
                        <w14:solidFill>
                          <w14:schemeClr w14:val="tx1"/>
                        </w14:solidFill>
                      </w14:textFill>
                    </w:rPr>
                  </w:pPr>
                </w:p>
              </w:tc>
              <w:tc>
                <w:tcPr>
                  <w:tcW w:w="1133" w:type="dxa"/>
                  <w:vMerge w:val="restart"/>
                  <w:vAlign w:val="center"/>
                </w:tcPr>
                <w:p w14:paraId="012279D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生产区</w:t>
                  </w:r>
                </w:p>
              </w:tc>
              <w:tc>
                <w:tcPr>
                  <w:tcW w:w="2987" w:type="dxa"/>
                  <w:vAlign w:val="center"/>
                </w:tcPr>
                <w:p w14:paraId="774AD486">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布袋除尘器</w:t>
                  </w:r>
                </w:p>
              </w:tc>
              <w:tc>
                <w:tcPr>
                  <w:tcW w:w="2365" w:type="dxa"/>
                  <w:gridSpan w:val="2"/>
                  <w:vAlign w:val="center"/>
                </w:tcPr>
                <w:p w14:paraId="451B1B1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废布袋、粉尘</w:t>
                  </w:r>
                </w:p>
              </w:tc>
            </w:tr>
            <w:tr w14:paraId="3C1EA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6" w:type="dxa"/>
                  <w:vMerge w:val="continue"/>
                  <w:vAlign w:val="center"/>
                </w:tcPr>
                <w:p w14:paraId="107D1394">
                  <w:pPr>
                    <w:jc w:val="center"/>
                    <w:rPr>
                      <w:rFonts w:eastAsia="宋体"/>
                      <w:color w:val="000000" w:themeColor="text1"/>
                      <w:sz w:val="24"/>
                      <w14:textFill>
                        <w14:solidFill>
                          <w14:schemeClr w14:val="tx1"/>
                        </w14:solidFill>
                      </w14:textFill>
                    </w:rPr>
                  </w:pPr>
                </w:p>
              </w:tc>
              <w:tc>
                <w:tcPr>
                  <w:tcW w:w="1133" w:type="dxa"/>
                  <w:vMerge w:val="continue"/>
                  <w:vAlign w:val="center"/>
                </w:tcPr>
                <w:p w14:paraId="67C8A435">
                  <w:pPr>
                    <w:jc w:val="center"/>
                    <w:rPr>
                      <w:rFonts w:eastAsia="宋体"/>
                      <w:color w:val="000000" w:themeColor="text1"/>
                      <w:sz w:val="24"/>
                      <w14:textFill>
                        <w14:solidFill>
                          <w14:schemeClr w14:val="tx1"/>
                        </w14:solidFill>
                      </w14:textFill>
                    </w:rPr>
                  </w:pPr>
                </w:p>
              </w:tc>
              <w:tc>
                <w:tcPr>
                  <w:tcW w:w="2987" w:type="dxa"/>
                  <w:vAlign w:val="center"/>
                </w:tcPr>
                <w:p w14:paraId="3E79545B">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生产工段</w:t>
                  </w:r>
                </w:p>
              </w:tc>
              <w:tc>
                <w:tcPr>
                  <w:tcW w:w="2365" w:type="dxa"/>
                  <w:gridSpan w:val="2"/>
                  <w:vAlign w:val="center"/>
                </w:tcPr>
                <w:p w14:paraId="0BE5ECA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粉尘、废包装袋</w:t>
                  </w:r>
                </w:p>
              </w:tc>
            </w:tr>
            <w:bookmarkEnd w:id="30"/>
          </w:tbl>
          <w:p w14:paraId="08FDCA8E">
            <w:pPr>
              <w:pStyle w:val="31"/>
              <w:ind w:firstLine="240"/>
              <w:rPr>
                <w:rFonts w:eastAsia="宋体"/>
                <w:color w:val="000000" w:themeColor="text1"/>
                <w:sz w:val="24"/>
                <w:szCs w:val="24"/>
                <w14:textFill>
                  <w14:solidFill>
                    <w14:schemeClr w14:val="tx1"/>
                  </w14:solidFill>
                </w14:textFill>
              </w:rPr>
            </w:pPr>
          </w:p>
        </w:tc>
      </w:tr>
      <w:tr w14:paraId="0F03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0" w:hRule="atLeast"/>
          <w:jc w:val="center"/>
        </w:trPr>
        <w:tc>
          <w:tcPr>
            <w:tcW w:w="893" w:type="dxa"/>
            <w:vAlign w:val="center"/>
          </w:tcPr>
          <w:p w14:paraId="0EF80DD2">
            <w:pPr>
              <w:pStyle w:val="28"/>
              <w:adjustRightInd w:val="0"/>
              <w:snapToGrid w:val="0"/>
              <w:spacing w:before="0" w:beforeAutospacing="0" w:after="0" w:afterAutospacing="0"/>
              <w:jc w:val="center"/>
              <w:rPr>
                <w:rFonts w:ascii="Times New Roman" w:hAnsi="Times New Roman" w:eastAsia="宋体"/>
                <w:b/>
                <w:bCs/>
                <w:color w:val="000000" w:themeColor="text1"/>
                <w:kern w:val="2"/>
                <w:szCs w:val="24"/>
                <w14:textFill>
                  <w14:solidFill>
                    <w14:schemeClr w14:val="tx1"/>
                  </w14:solidFill>
                </w14:textFill>
              </w:rPr>
            </w:pPr>
            <w:r>
              <w:rPr>
                <w:rFonts w:ascii="Times New Roman" w:hAnsi="Times New Roman" w:eastAsia="宋体"/>
                <w:b/>
                <w:bCs/>
                <w:color w:val="000000" w:themeColor="text1"/>
                <w:kern w:val="2"/>
                <w:szCs w:val="24"/>
                <w14:textFill>
                  <w14:solidFill>
                    <w14:schemeClr w14:val="tx1"/>
                  </w14:solidFill>
                </w14:textFill>
              </w:rPr>
              <w:t>与项目有关的原有环境污染问题</w:t>
            </w:r>
          </w:p>
        </w:tc>
        <w:tc>
          <w:tcPr>
            <w:tcW w:w="7383" w:type="dxa"/>
            <w:vAlign w:val="center"/>
          </w:tcPr>
          <w:p w14:paraId="7A59BBED">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本项目为新建项目，利用现有厂房改造，经现场勘查，无原有环境污染问题。</w:t>
            </w:r>
          </w:p>
        </w:tc>
      </w:tr>
    </w:tbl>
    <w:p w14:paraId="7CAE2675">
      <w:pPr>
        <w:rPr>
          <w:rFonts w:eastAsia="宋体"/>
          <w:color w:val="000000" w:themeColor="text1"/>
          <w:sz w:val="24"/>
          <w14:textFill>
            <w14:solidFill>
              <w14:schemeClr w14:val="tx1"/>
            </w14:solidFill>
          </w14:textFill>
        </w:rPr>
        <w:sectPr>
          <w:pgSz w:w="11906" w:h="16838"/>
          <w:pgMar w:top="1440" w:right="1800" w:bottom="1440" w:left="1800" w:header="851" w:footer="851" w:gutter="0"/>
          <w:cols w:space="720" w:num="1"/>
          <w:docGrid w:linePitch="312" w:charSpace="0"/>
        </w:sectPr>
      </w:pPr>
    </w:p>
    <w:p w14:paraId="6053593C">
      <w:pPr>
        <w:pStyle w:val="28"/>
        <w:adjustRightInd w:val="0"/>
        <w:snapToGrid w:val="0"/>
        <w:spacing w:before="0" w:beforeAutospacing="0" w:after="0" w:afterAutospacing="0" w:line="500" w:lineRule="exact"/>
        <w:jc w:val="center"/>
        <w:outlineLvl w:val="0"/>
        <w:rPr>
          <w:rFonts w:ascii="Times New Roman" w:hAnsi="Times New Roman" w:eastAsia="宋体"/>
          <w:b/>
          <w:bCs/>
          <w:snapToGrid w:val="0"/>
          <w:color w:val="000000" w:themeColor="text1"/>
          <w:szCs w:val="24"/>
          <w14:textFill>
            <w14:solidFill>
              <w14:schemeClr w14:val="tx1"/>
            </w14:solidFill>
          </w14:textFill>
        </w:rPr>
      </w:pPr>
      <w:bookmarkStart w:id="31" w:name="_Toc24711"/>
      <w:r>
        <w:rPr>
          <w:rFonts w:ascii="Times New Roman" w:hAnsi="Times New Roman" w:eastAsia="宋体"/>
          <w:b/>
          <w:bCs/>
          <w:snapToGrid w:val="0"/>
          <w:color w:val="000000" w:themeColor="text1"/>
          <w:szCs w:val="24"/>
          <w14:textFill>
            <w14:solidFill>
              <w14:schemeClr w14:val="tx1"/>
            </w14:solidFill>
          </w14:textFill>
        </w:rPr>
        <w:t>三、区域环境质量现状、环境保护目标及评价标准</w:t>
      </w:r>
      <w:bookmarkEnd w:id="31"/>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8069"/>
      </w:tblGrid>
      <w:tr w14:paraId="5376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jc w:val="center"/>
        </w:trPr>
        <w:tc>
          <w:tcPr>
            <w:tcW w:w="411" w:type="dxa"/>
            <w:vAlign w:val="center"/>
          </w:tcPr>
          <w:p w14:paraId="463D8564">
            <w:pPr>
              <w:adjustRightInd w:val="0"/>
              <w:snapToGrid w:val="0"/>
              <w:jc w:val="center"/>
              <w:rPr>
                <w:rFonts w:eastAsia="宋体"/>
                <w:b/>
                <w:color w:val="000000" w:themeColor="text1"/>
                <w:kern w:val="0"/>
                <w:sz w:val="24"/>
                <w14:textFill>
                  <w14:solidFill>
                    <w14:schemeClr w14:val="tx1"/>
                  </w14:solidFill>
                </w14:textFill>
              </w:rPr>
            </w:pPr>
            <w:r>
              <w:rPr>
                <w:rFonts w:eastAsia="宋体"/>
                <w:b/>
                <w:color w:val="000000" w:themeColor="text1"/>
                <w:kern w:val="0"/>
                <w:sz w:val="24"/>
                <w14:textFill>
                  <w14:solidFill>
                    <w14:schemeClr w14:val="tx1"/>
                  </w14:solidFill>
                </w14:textFill>
              </w:rPr>
              <w:t>区域环境质量现状</w:t>
            </w:r>
          </w:p>
        </w:tc>
        <w:tc>
          <w:tcPr>
            <w:tcW w:w="7833" w:type="dxa"/>
          </w:tcPr>
          <w:p w14:paraId="3D4F23FC">
            <w:pPr>
              <w:spacing w:line="360" w:lineRule="auto"/>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1、项目区域环境空气质量现状</w:t>
            </w:r>
          </w:p>
          <w:p w14:paraId="642F5E9D">
            <w:pPr>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（1）基本污染物</w:t>
            </w:r>
          </w:p>
          <w:p w14:paraId="6CD1B8E6">
            <w:pPr>
              <w:adjustRightInd w:val="0"/>
              <w:snapToGrid w:val="0"/>
              <w:spacing w:line="360" w:lineRule="auto"/>
              <w:ind w:firstLine="480" w:firstLineChars="200"/>
              <w:jc w:val="left"/>
              <w:rPr>
                <w:rFonts w:eastAsia="宋体"/>
                <w:snapToGrid w:val="0"/>
                <w:color w:val="000000" w:themeColor="text1"/>
                <w:kern w:val="0"/>
                <w:sz w:val="24"/>
                <w:lang w:val="en-GB"/>
                <w14:textFill>
                  <w14:solidFill>
                    <w14:schemeClr w14:val="tx1"/>
                  </w14:solidFill>
                </w14:textFill>
              </w:rPr>
            </w:pPr>
            <w:r>
              <w:rPr>
                <w:rFonts w:eastAsia="宋体"/>
                <w:color w:val="000000" w:themeColor="text1"/>
                <w:sz w:val="24"/>
                <w14:textFill>
                  <w14:solidFill>
                    <w14:schemeClr w14:val="tx1"/>
                  </w14:solidFill>
                </w14:textFill>
              </w:rPr>
              <w:t>本项目位于黑龙江省双鸭山市四方台区河东街道，</w:t>
            </w:r>
            <w:r>
              <w:rPr>
                <w:rFonts w:eastAsia="宋体"/>
                <w:color w:val="000000" w:themeColor="text1"/>
                <w:sz w:val="24"/>
                <w:lang w:val="en-GB"/>
                <w14:textFill>
                  <w14:solidFill>
                    <w14:schemeClr w14:val="tx1"/>
                  </w14:solidFill>
                </w14:textFill>
              </w:rPr>
              <w:t>所在区域为二类功能区，执行</w:t>
            </w:r>
            <w:r>
              <w:rPr>
                <w:rFonts w:eastAsia="宋体"/>
                <w:color w:val="000000" w:themeColor="text1"/>
                <w:sz w:val="24"/>
                <w14:textFill>
                  <w14:solidFill>
                    <w14:schemeClr w14:val="tx1"/>
                  </w14:solidFill>
                </w14:textFill>
              </w:rPr>
              <w:t>《环境空气质量标准》（GB3095-2026）中过渡阶段二级标准</w:t>
            </w:r>
            <w:r>
              <w:rPr>
                <w:rFonts w:eastAsia="宋体"/>
                <w:color w:val="000000" w:themeColor="text1"/>
                <w:sz w:val="24"/>
                <w:lang w:val="en-GB"/>
                <w14:textFill>
                  <w14:solidFill>
                    <w14:schemeClr w14:val="tx1"/>
                  </w14:solidFill>
                </w14:textFill>
              </w:rPr>
              <w:t>。</w:t>
            </w:r>
            <w:r>
              <w:rPr>
                <w:rFonts w:eastAsia="宋体"/>
                <w:color w:val="000000" w:themeColor="text1"/>
                <w:sz w:val="24"/>
                <w14:textFill>
                  <w14:solidFill>
                    <w14:schemeClr w14:val="tx1"/>
                  </w14:solidFill>
                </w14:textFill>
              </w:rPr>
              <w:t>所在地基本污染物</w:t>
            </w:r>
            <w:r>
              <w:rPr>
                <w:rFonts w:eastAsia="宋体"/>
                <w:color w:val="000000" w:themeColor="text1"/>
                <w:sz w:val="24"/>
                <w:lang w:val="en-GB"/>
                <w14:textFill>
                  <w14:solidFill>
                    <w14:schemeClr w14:val="tx1"/>
                  </w14:solidFill>
                </w14:textFill>
              </w:rPr>
              <w:t>PM</w:t>
            </w:r>
            <w:r>
              <w:rPr>
                <w:rFonts w:eastAsia="宋体"/>
                <w:color w:val="000000" w:themeColor="text1"/>
                <w:sz w:val="24"/>
                <w:vertAlign w:val="subscript"/>
                <w:lang w:val="en-GB"/>
                <w14:textFill>
                  <w14:solidFill>
                    <w14:schemeClr w14:val="tx1"/>
                  </w14:solidFill>
                </w14:textFill>
              </w:rPr>
              <w:t>10</w:t>
            </w:r>
            <w:r>
              <w:rPr>
                <w:rFonts w:eastAsia="宋体"/>
                <w:color w:val="000000" w:themeColor="text1"/>
                <w:sz w:val="24"/>
                <w:lang w:val="en-GB"/>
                <w14:textFill>
                  <w14:solidFill>
                    <w14:schemeClr w14:val="tx1"/>
                  </w14:solidFill>
                </w14:textFill>
              </w:rPr>
              <w:t>、PM</w:t>
            </w:r>
            <w:r>
              <w:rPr>
                <w:rFonts w:eastAsia="宋体"/>
                <w:color w:val="000000" w:themeColor="text1"/>
                <w:sz w:val="24"/>
                <w:vertAlign w:val="subscript"/>
                <w:lang w:val="en-GB"/>
                <w14:textFill>
                  <w14:solidFill>
                    <w14:schemeClr w14:val="tx1"/>
                  </w14:solidFill>
                </w14:textFill>
              </w:rPr>
              <w:t>2.5</w:t>
            </w:r>
            <w:r>
              <w:rPr>
                <w:rFonts w:eastAsia="宋体"/>
                <w:color w:val="000000" w:themeColor="text1"/>
                <w:sz w:val="24"/>
                <w:lang w:val="en-GB"/>
                <w14:textFill>
                  <w14:solidFill>
                    <w14:schemeClr w14:val="tx1"/>
                  </w14:solidFill>
                </w14:textFill>
              </w:rPr>
              <w:t>、SO</w:t>
            </w:r>
            <w:r>
              <w:rPr>
                <w:rFonts w:eastAsia="宋体"/>
                <w:color w:val="000000" w:themeColor="text1"/>
                <w:sz w:val="24"/>
                <w:vertAlign w:val="subscript"/>
                <w:lang w:val="en-GB"/>
                <w14:textFill>
                  <w14:solidFill>
                    <w14:schemeClr w14:val="tx1"/>
                  </w14:solidFill>
                </w14:textFill>
              </w:rPr>
              <w:t>2</w:t>
            </w:r>
            <w:r>
              <w:rPr>
                <w:rFonts w:eastAsia="宋体"/>
                <w:color w:val="000000" w:themeColor="text1"/>
                <w:sz w:val="24"/>
                <w:lang w:val="en-GB"/>
                <w14:textFill>
                  <w14:solidFill>
                    <w14:schemeClr w14:val="tx1"/>
                  </w14:solidFill>
                </w14:textFill>
              </w:rPr>
              <w:t>、NO</w:t>
            </w:r>
            <w:r>
              <w:rPr>
                <w:rFonts w:eastAsia="宋体"/>
                <w:color w:val="000000" w:themeColor="text1"/>
                <w:sz w:val="24"/>
                <w:vertAlign w:val="subscript"/>
                <w:lang w:val="en-GB"/>
                <w14:textFill>
                  <w14:solidFill>
                    <w14:schemeClr w14:val="tx1"/>
                  </w14:solidFill>
                </w14:textFill>
              </w:rPr>
              <w:t>2</w:t>
            </w:r>
            <w:r>
              <w:rPr>
                <w:rFonts w:eastAsia="宋体"/>
                <w:color w:val="000000" w:themeColor="text1"/>
                <w:sz w:val="24"/>
                <w:lang w:val="en-GB"/>
                <w14:textFill>
                  <w14:solidFill>
                    <w14:schemeClr w14:val="tx1"/>
                  </w14:solidFill>
                </w14:textFill>
              </w:rPr>
              <w:t>、CO和O</w:t>
            </w:r>
            <w:r>
              <w:rPr>
                <w:rFonts w:eastAsia="宋体"/>
                <w:color w:val="000000" w:themeColor="text1"/>
                <w:sz w:val="24"/>
                <w:vertAlign w:val="subscript"/>
                <w:lang w:val="en-GB"/>
                <w14:textFill>
                  <w14:solidFill>
                    <w14:schemeClr w14:val="tx1"/>
                  </w14:solidFill>
                </w14:textFill>
              </w:rPr>
              <w:t>3</w:t>
            </w:r>
            <w:r>
              <w:rPr>
                <w:rFonts w:eastAsia="宋体"/>
                <w:color w:val="000000" w:themeColor="text1"/>
                <w:sz w:val="24"/>
                <w:lang w:val="en-GB"/>
                <w14:textFill>
                  <w14:solidFill>
                    <w14:schemeClr w14:val="tx1"/>
                  </w14:solidFill>
                </w14:textFill>
              </w:rPr>
              <w:t>的</w:t>
            </w:r>
            <w:r>
              <w:rPr>
                <w:rFonts w:eastAsia="宋体"/>
                <w:color w:val="000000" w:themeColor="text1"/>
                <w:sz w:val="24"/>
                <w14:textFill>
                  <w14:solidFill>
                    <w14:schemeClr w14:val="tx1"/>
                  </w14:solidFill>
                </w14:textFill>
              </w:rPr>
              <w:t>环境质量现状数据引用自《2025年黑龙江省生态环境质量状况》中公布的数据</w:t>
            </w:r>
            <w:r>
              <w:rPr>
                <w:rFonts w:eastAsia="宋体"/>
                <w:snapToGrid w:val="0"/>
                <w:color w:val="000000" w:themeColor="text1"/>
                <w:kern w:val="0"/>
                <w:sz w:val="24"/>
                <w:lang w:val="en-GB"/>
                <w14:textFill>
                  <w14:solidFill>
                    <w14:schemeClr w14:val="tx1"/>
                  </w14:solidFill>
                </w14:textFill>
              </w:rPr>
              <w:t>，</w:t>
            </w:r>
            <w:r>
              <w:rPr>
                <w:rFonts w:eastAsia="宋体"/>
                <w:snapToGrid w:val="0"/>
                <w:color w:val="000000" w:themeColor="text1"/>
                <w:kern w:val="0"/>
                <w:sz w:val="24"/>
                <w14:textFill>
                  <w14:solidFill>
                    <w14:schemeClr w14:val="tx1"/>
                  </w14:solidFill>
                </w14:textFill>
              </w:rPr>
              <w:t>具体见下表</w:t>
            </w:r>
            <w:r>
              <w:rPr>
                <w:rFonts w:eastAsia="宋体"/>
                <w:snapToGrid w:val="0"/>
                <w:color w:val="000000" w:themeColor="text1"/>
                <w:kern w:val="0"/>
                <w:sz w:val="24"/>
                <w:lang w:val="en-GB"/>
                <w14:textFill>
                  <w14:solidFill>
                    <w14:schemeClr w14:val="tx1"/>
                  </w14:solidFill>
                </w14:textFill>
              </w:rPr>
              <w:t>。</w:t>
            </w:r>
          </w:p>
          <w:p w14:paraId="05145EF0">
            <w:pPr>
              <w:spacing w:line="360" w:lineRule="auto"/>
              <w:ind w:firstLine="422" w:firstLineChars="200"/>
              <w:jc w:val="center"/>
              <w:rPr>
                <w:rFonts w:eastAsia="宋体"/>
                <w:b/>
                <w:bCs/>
                <w:color w:val="000000" w:themeColor="text1"/>
                <w:kern w:val="0"/>
                <w:szCs w:val="21"/>
                <w14:textFill>
                  <w14:solidFill>
                    <w14:schemeClr w14:val="tx1"/>
                  </w14:solidFill>
                </w14:textFill>
              </w:rPr>
            </w:pPr>
            <w:r>
              <w:rPr>
                <w:rFonts w:eastAsia="宋体"/>
                <w:b/>
                <w:bCs/>
                <w:color w:val="000000" w:themeColor="text1"/>
                <w:kern w:val="0"/>
                <w:szCs w:val="21"/>
                <w14:textFill>
                  <w14:solidFill>
                    <w14:schemeClr w14:val="tx1"/>
                  </w14:solidFill>
                </w14:textFill>
              </w:rPr>
              <w:t>表3-1区域空气质量现状评价表</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2945"/>
              <w:gridCol w:w="865"/>
              <w:gridCol w:w="917"/>
              <w:gridCol w:w="900"/>
              <w:gridCol w:w="1019"/>
            </w:tblGrid>
            <w:tr w14:paraId="7F5201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7" w:type="pct"/>
                  <w:vAlign w:val="center"/>
                </w:tcPr>
                <w:p w14:paraId="33DCC82F">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污染物</w:t>
                  </w:r>
                </w:p>
              </w:tc>
              <w:tc>
                <w:tcPr>
                  <w:tcW w:w="1876" w:type="pct"/>
                  <w:vAlign w:val="center"/>
                </w:tcPr>
                <w:p w14:paraId="075EFD43">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年评价指标</w:t>
                  </w:r>
                </w:p>
              </w:tc>
              <w:tc>
                <w:tcPr>
                  <w:tcW w:w="551" w:type="pct"/>
                  <w:vAlign w:val="center"/>
                </w:tcPr>
                <w:p w14:paraId="2276E5E9">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现状浓度</w:t>
                  </w:r>
                </w:p>
              </w:tc>
              <w:tc>
                <w:tcPr>
                  <w:tcW w:w="584" w:type="pct"/>
                  <w:vAlign w:val="center"/>
                </w:tcPr>
                <w:p w14:paraId="2C639D01">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14:textFill>
                        <w14:solidFill>
                          <w14:schemeClr w14:val="tx1"/>
                        </w14:solidFill>
                      </w14:textFill>
                    </w:rPr>
                    <w:t>标准值(过渡阶段二级标准)</w:t>
                  </w:r>
                </w:p>
              </w:tc>
              <w:tc>
                <w:tcPr>
                  <w:tcW w:w="573" w:type="pct"/>
                  <w:vAlign w:val="center"/>
                </w:tcPr>
                <w:p w14:paraId="0472A973">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占标率</w:t>
                  </w:r>
                </w:p>
              </w:tc>
              <w:tc>
                <w:tcPr>
                  <w:tcW w:w="647" w:type="pct"/>
                  <w:vAlign w:val="center"/>
                </w:tcPr>
                <w:p w14:paraId="0DE2D336">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达标情况</w:t>
                  </w:r>
                </w:p>
              </w:tc>
            </w:tr>
            <w:tr w14:paraId="3739AD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7" w:type="pct"/>
                  <w:vAlign w:val="center"/>
                </w:tcPr>
                <w:p w14:paraId="6D5CC210">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PM</w:t>
                  </w:r>
                  <w:r>
                    <w:rPr>
                      <w:rFonts w:eastAsia="宋体"/>
                      <w:color w:val="000000" w:themeColor="text1"/>
                      <w:kern w:val="0"/>
                      <w:szCs w:val="21"/>
                      <w:vertAlign w:val="subscript"/>
                      <w14:textFill>
                        <w14:solidFill>
                          <w14:schemeClr w14:val="tx1"/>
                        </w14:solidFill>
                      </w14:textFill>
                    </w:rPr>
                    <w:t>2.5</w:t>
                  </w:r>
                </w:p>
              </w:tc>
              <w:tc>
                <w:tcPr>
                  <w:tcW w:w="1876" w:type="pct"/>
                  <w:vAlign w:val="center"/>
                </w:tcPr>
                <w:p w14:paraId="349DB65F">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年平均质量浓度</w:t>
                  </w:r>
                </w:p>
              </w:tc>
              <w:tc>
                <w:tcPr>
                  <w:tcW w:w="551" w:type="pct"/>
                  <w:vAlign w:val="center"/>
                </w:tcPr>
                <w:p w14:paraId="69564D93">
                  <w:pPr>
                    <w:jc w:val="center"/>
                    <w:rPr>
                      <w:rFonts w:eastAsia="宋体"/>
                      <w:color w:val="000000" w:themeColor="text1"/>
                      <w:kern w:val="0"/>
                      <w:szCs w:val="21"/>
                      <w14:textFill>
                        <w14:solidFill>
                          <w14:schemeClr w14:val="tx1"/>
                        </w14:solidFill>
                      </w14:textFill>
                    </w:rPr>
                  </w:pPr>
                  <w:r>
                    <w:rPr>
                      <w:rFonts w:eastAsia="宋体"/>
                      <w:color w:val="000000" w:themeColor="text1"/>
                      <w:szCs w:val="21"/>
                      <w14:textFill>
                        <w14:solidFill>
                          <w14:schemeClr w14:val="tx1"/>
                        </w14:solidFill>
                      </w14:textFill>
                    </w:rPr>
                    <w:t>27</w:t>
                  </w:r>
                </w:p>
              </w:tc>
              <w:tc>
                <w:tcPr>
                  <w:tcW w:w="584" w:type="pct"/>
                  <w:vAlign w:val="center"/>
                </w:tcPr>
                <w:p w14:paraId="1952FADA">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30</w:t>
                  </w:r>
                </w:p>
              </w:tc>
              <w:tc>
                <w:tcPr>
                  <w:tcW w:w="573" w:type="pct"/>
                  <w:vAlign w:val="center"/>
                </w:tcPr>
                <w:p w14:paraId="6B61ED37">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90.0</w:t>
                  </w:r>
                  <w:r>
                    <w:rPr>
                      <w:rFonts w:eastAsia="宋体"/>
                      <w:color w:val="000000" w:themeColor="text1"/>
                      <w:szCs w:val="21"/>
                      <w14:textFill>
                        <w14:solidFill>
                          <w14:schemeClr w14:val="tx1"/>
                        </w14:solidFill>
                      </w14:textFill>
                    </w:rPr>
                    <w:t>%</w:t>
                  </w:r>
                </w:p>
              </w:tc>
              <w:tc>
                <w:tcPr>
                  <w:tcW w:w="647" w:type="pct"/>
                  <w:vAlign w:val="center"/>
                </w:tcPr>
                <w:p w14:paraId="437A489F">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szCs w:val="21"/>
                      <w14:textFill>
                        <w14:solidFill>
                          <w14:schemeClr w14:val="tx1"/>
                        </w14:solidFill>
                      </w14:textFill>
                    </w:rPr>
                    <w:t>达标</w:t>
                  </w:r>
                </w:p>
              </w:tc>
            </w:tr>
            <w:tr w14:paraId="795BB1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7" w:type="pct"/>
                  <w:vAlign w:val="center"/>
                </w:tcPr>
                <w:p w14:paraId="502979CF">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PM</w:t>
                  </w:r>
                  <w:r>
                    <w:rPr>
                      <w:rFonts w:eastAsia="宋体"/>
                      <w:color w:val="000000" w:themeColor="text1"/>
                      <w:kern w:val="0"/>
                      <w:szCs w:val="21"/>
                      <w:vertAlign w:val="subscript"/>
                      <w14:textFill>
                        <w14:solidFill>
                          <w14:schemeClr w14:val="tx1"/>
                        </w14:solidFill>
                      </w14:textFill>
                    </w:rPr>
                    <w:t>10</w:t>
                  </w:r>
                </w:p>
              </w:tc>
              <w:tc>
                <w:tcPr>
                  <w:tcW w:w="1876" w:type="pct"/>
                  <w:vAlign w:val="center"/>
                </w:tcPr>
                <w:p w14:paraId="24A0FCFA">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年平均质量浓度</w:t>
                  </w:r>
                </w:p>
              </w:tc>
              <w:tc>
                <w:tcPr>
                  <w:tcW w:w="551" w:type="pct"/>
                  <w:vAlign w:val="center"/>
                </w:tcPr>
                <w:p w14:paraId="7310719F">
                  <w:pPr>
                    <w:jc w:val="center"/>
                    <w:rPr>
                      <w:rFonts w:eastAsia="宋体"/>
                      <w:color w:val="000000" w:themeColor="text1"/>
                      <w:kern w:val="0"/>
                      <w:szCs w:val="21"/>
                      <w14:textFill>
                        <w14:solidFill>
                          <w14:schemeClr w14:val="tx1"/>
                        </w14:solidFill>
                      </w14:textFill>
                    </w:rPr>
                  </w:pPr>
                  <w:r>
                    <w:rPr>
                      <w:rFonts w:eastAsia="宋体"/>
                      <w:color w:val="000000" w:themeColor="text1"/>
                      <w:szCs w:val="21"/>
                      <w14:textFill>
                        <w14:solidFill>
                          <w14:schemeClr w14:val="tx1"/>
                        </w14:solidFill>
                      </w14:textFill>
                    </w:rPr>
                    <w:t>42</w:t>
                  </w:r>
                </w:p>
              </w:tc>
              <w:tc>
                <w:tcPr>
                  <w:tcW w:w="584" w:type="pct"/>
                  <w:vAlign w:val="center"/>
                </w:tcPr>
                <w:p w14:paraId="06057797">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60</w:t>
                  </w:r>
                </w:p>
              </w:tc>
              <w:tc>
                <w:tcPr>
                  <w:tcW w:w="573" w:type="pct"/>
                  <w:vAlign w:val="center"/>
                </w:tcPr>
                <w:p w14:paraId="4F0A32E5">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70.0</w:t>
                  </w:r>
                  <w:r>
                    <w:rPr>
                      <w:rFonts w:eastAsia="宋体"/>
                      <w:color w:val="000000" w:themeColor="text1"/>
                      <w:szCs w:val="21"/>
                      <w14:textFill>
                        <w14:solidFill>
                          <w14:schemeClr w14:val="tx1"/>
                        </w14:solidFill>
                      </w14:textFill>
                    </w:rPr>
                    <w:t>%</w:t>
                  </w:r>
                </w:p>
              </w:tc>
              <w:tc>
                <w:tcPr>
                  <w:tcW w:w="647" w:type="pct"/>
                  <w:vAlign w:val="center"/>
                </w:tcPr>
                <w:p w14:paraId="2A699B0B">
                  <w:pPr>
                    <w:jc w:val="center"/>
                    <w:rPr>
                      <w:rFonts w:eastAsia="宋体"/>
                      <w:color w:val="000000" w:themeColor="text1"/>
                      <w:kern w:val="0"/>
                      <w:szCs w:val="21"/>
                      <w14:textFill>
                        <w14:solidFill>
                          <w14:schemeClr w14:val="tx1"/>
                        </w14:solidFill>
                      </w14:textFill>
                    </w:rPr>
                  </w:pPr>
                  <w:r>
                    <w:rPr>
                      <w:rFonts w:eastAsia="宋体"/>
                      <w:color w:val="000000" w:themeColor="text1"/>
                      <w:szCs w:val="21"/>
                      <w14:textFill>
                        <w14:solidFill>
                          <w14:schemeClr w14:val="tx1"/>
                        </w14:solidFill>
                      </w14:textFill>
                    </w:rPr>
                    <w:t>达标</w:t>
                  </w:r>
                </w:p>
              </w:tc>
            </w:tr>
            <w:tr w14:paraId="1A59A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7" w:type="pct"/>
                  <w:vAlign w:val="center"/>
                </w:tcPr>
                <w:p w14:paraId="7072C23A">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NO</w:t>
                  </w:r>
                  <w:r>
                    <w:rPr>
                      <w:rFonts w:eastAsia="宋体"/>
                      <w:color w:val="000000" w:themeColor="text1"/>
                      <w:kern w:val="0"/>
                      <w:szCs w:val="21"/>
                      <w:vertAlign w:val="subscript"/>
                      <w14:textFill>
                        <w14:solidFill>
                          <w14:schemeClr w14:val="tx1"/>
                        </w14:solidFill>
                      </w14:textFill>
                    </w:rPr>
                    <w:t>2</w:t>
                  </w:r>
                </w:p>
              </w:tc>
              <w:tc>
                <w:tcPr>
                  <w:tcW w:w="1876" w:type="pct"/>
                  <w:vAlign w:val="center"/>
                </w:tcPr>
                <w:p w14:paraId="1164B74D">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年平均质量浓度</w:t>
                  </w:r>
                </w:p>
              </w:tc>
              <w:tc>
                <w:tcPr>
                  <w:tcW w:w="551" w:type="pct"/>
                  <w:vAlign w:val="center"/>
                </w:tcPr>
                <w:p w14:paraId="31AF2464">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15</w:t>
                  </w:r>
                </w:p>
              </w:tc>
              <w:tc>
                <w:tcPr>
                  <w:tcW w:w="584" w:type="pct"/>
                  <w:vAlign w:val="center"/>
                </w:tcPr>
                <w:p w14:paraId="48B14CCB">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40</w:t>
                  </w:r>
                </w:p>
              </w:tc>
              <w:tc>
                <w:tcPr>
                  <w:tcW w:w="965" w:type="dxa"/>
                  <w:vAlign w:val="center"/>
                </w:tcPr>
                <w:p w14:paraId="3115A89D">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37.5%</w:t>
                  </w:r>
                </w:p>
              </w:tc>
              <w:tc>
                <w:tcPr>
                  <w:tcW w:w="647" w:type="pct"/>
                  <w:vAlign w:val="center"/>
                </w:tcPr>
                <w:p w14:paraId="64034E69">
                  <w:pPr>
                    <w:jc w:val="center"/>
                    <w:rPr>
                      <w:rFonts w:eastAsia="宋体"/>
                      <w:color w:val="000000" w:themeColor="text1"/>
                      <w:kern w:val="0"/>
                      <w:szCs w:val="21"/>
                      <w14:textFill>
                        <w14:solidFill>
                          <w14:schemeClr w14:val="tx1"/>
                        </w14:solidFill>
                      </w14:textFill>
                    </w:rPr>
                  </w:pPr>
                  <w:r>
                    <w:rPr>
                      <w:rFonts w:eastAsia="宋体"/>
                      <w:color w:val="000000" w:themeColor="text1"/>
                      <w:szCs w:val="21"/>
                      <w14:textFill>
                        <w14:solidFill>
                          <w14:schemeClr w14:val="tx1"/>
                        </w14:solidFill>
                      </w14:textFill>
                    </w:rPr>
                    <w:t>达标</w:t>
                  </w:r>
                </w:p>
              </w:tc>
            </w:tr>
            <w:tr w14:paraId="5D9D2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7" w:type="pct"/>
                  <w:vAlign w:val="center"/>
                </w:tcPr>
                <w:p w14:paraId="4C152209">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SO</w:t>
                  </w:r>
                  <w:r>
                    <w:rPr>
                      <w:rFonts w:eastAsia="宋体"/>
                      <w:color w:val="000000" w:themeColor="text1"/>
                      <w:kern w:val="0"/>
                      <w:szCs w:val="21"/>
                      <w:vertAlign w:val="subscript"/>
                      <w14:textFill>
                        <w14:solidFill>
                          <w14:schemeClr w14:val="tx1"/>
                        </w14:solidFill>
                      </w14:textFill>
                    </w:rPr>
                    <w:t>2</w:t>
                  </w:r>
                </w:p>
              </w:tc>
              <w:tc>
                <w:tcPr>
                  <w:tcW w:w="1876" w:type="pct"/>
                  <w:vAlign w:val="center"/>
                </w:tcPr>
                <w:p w14:paraId="0AE50AC8">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年平均质量浓度</w:t>
                  </w:r>
                </w:p>
              </w:tc>
              <w:tc>
                <w:tcPr>
                  <w:tcW w:w="551" w:type="pct"/>
                  <w:vAlign w:val="center"/>
                </w:tcPr>
                <w:p w14:paraId="3E5A4F71">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12</w:t>
                  </w:r>
                </w:p>
              </w:tc>
              <w:tc>
                <w:tcPr>
                  <w:tcW w:w="584" w:type="pct"/>
                  <w:vAlign w:val="center"/>
                </w:tcPr>
                <w:p w14:paraId="21A5C3D9">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60</w:t>
                  </w:r>
                </w:p>
              </w:tc>
              <w:tc>
                <w:tcPr>
                  <w:tcW w:w="965" w:type="dxa"/>
                  <w:vAlign w:val="center"/>
                </w:tcPr>
                <w:p w14:paraId="2CD38289">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20.0%</w:t>
                  </w:r>
                </w:p>
              </w:tc>
              <w:tc>
                <w:tcPr>
                  <w:tcW w:w="647" w:type="pct"/>
                  <w:vAlign w:val="center"/>
                </w:tcPr>
                <w:p w14:paraId="484EB393">
                  <w:pPr>
                    <w:jc w:val="center"/>
                    <w:rPr>
                      <w:rFonts w:eastAsia="宋体"/>
                      <w:color w:val="000000" w:themeColor="text1"/>
                      <w:kern w:val="0"/>
                      <w:szCs w:val="21"/>
                      <w14:textFill>
                        <w14:solidFill>
                          <w14:schemeClr w14:val="tx1"/>
                        </w14:solidFill>
                      </w14:textFill>
                    </w:rPr>
                  </w:pPr>
                  <w:r>
                    <w:rPr>
                      <w:rFonts w:eastAsia="宋体"/>
                      <w:color w:val="000000" w:themeColor="text1"/>
                      <w:szCs w:val="21"/>
                      <w14:textFill>
                        <w14:solidFill>
                          <w14:schemeClr w14:val="tx1"/>
                        </w14:solidFill>
                      </w14:textFill>
                    </w:rPr>
                    <w:t>达标</w:t>
                  </w:r>
                </w:p>
              </w:tc>
            </w:tr>
            <w:tr w14:paraId="37013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7" w:type="pct"/>
                  <w:vAlign w:val="center"/>
                </w:tcPr>
                <w:p w14:paraId="69D711D7">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CO（mg/m</w:t>
                  </w:r>
                  <w:r>
                    <w:rPr>
                      <w:rFonts w:eastAsia="宋体"/>
                      <w:color w:val="000000" w:themeColor="text1"/>
                      <w:kern w:val="0"/>
                      <w:szCs w:val="21"/>
                      <w:vertAlign w:val="superscript"/>
                      <w14:textFill>
                        <w14:solidFill>
                          <w14:schemeClr w14:val="tx1"/>
                        </w14:solidFill>
                      </w14:textFill>
                    </w:rPr>
                    <w:t>3</w:t>
                  </w:r>
                  <w:r>
                    <w:rPr>
                      <w:rFonts w:eastAsia="宋体"/>
                      <w:color w:val="000000" w:themeColor="text1"/>
                      <w:kern w:val="0"/>
                      <w:szCs w:val="21"/>
                      <w14:textFill>
                        <w14:solidFill>
                          <w14:schemeClr w14:val="tx1"/>
                        </w14:solidFill>
                      </w14:textFill>
                    </w:rPr>
                    <w:t>）</w:t>
                  </w:r>
                </w:p>
              </w:tc>
              <w:tc>
                <w:tcPr>
                  <w:tcW w:w="1876" w:type="pct"/>
                  <w:vAlign w:val="center"/>
                </w:tcPr>
                <w:p w14:paraId="068CDC37">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百分位数日平均质量浓度</w:t>
                  </w:r>
                </w:p>
              </w:tc>
              <w:tc>
                <w:tcPr>
                  <w:tcW w:w="551" w:type="pct"/>
                  <w:vAlign w:val="center"/>
                </w:tcPr>
                <w:p w14:paraId="2F372E47">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0.9</w:t>
                  </w:r>
                </w:p>
              </w:tc>
              <w:tc>
                <w:tcPr>
                  <w:tcW w:w="584" w:type="pct"/>
                  <w:vAlign w:val="center"/>
                </w:tcPr>
                <w:p w14:paraId="72611B40">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w:t>
                  </w:r>
                </w:p>
              </w:tc>
              <w:tc>
                <w:tcPr>
                  <w:tcW w:w="573" w:type="pct"/>
                  <w:vAlign w:val="center"/>
                </w:tcPr>
                <w:p w14:paraId="2CAA2D83">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22.5%</w:t>
                  </w:r>
                </w:p>
              </w:tc>
              <w:tc>
                <w:tcPr>
                  <w:tcW w:w="647" w:type="pct"/>
                  <w:vAlign w:val="center"/>
                </w:tcPr>
                <w:p w14:paraId="7AA7E7AE">
                  <w:pPr>
                    <w:jc w:val="center"/>
                    <w:rPr>
                      <w:rFonts w:eastAsia="宋体"/>
                      <w:color w:val="000000" w:themeColor="text1"/>
                      <w:kern w:val="0"/>
                      <w:szCs w:val="21"/>
                      <w14:textFill>
                        <w14:solidFill>
                          <w14:schemeClr w14:val="tx1"/>
                        </w14:solidFill>
                      </w14:textFill>
                    </w:rPr>
                  </w:pPr>
                  <w:r>
                    <w:rPr>
                      <w:rFonts w:eastAsia="宋体"/>
                      <w:color w:val="000000" w:themeColor="text1"/>
                      <w:szCs w:val="21"/>
                      <w14:textFill>
                        <w14:solidFill>
                          <w14:schemeClr w14:val="tx1"/>
                        </w14:solidFill>
                      </w14:textFill>
                    </w:rPr>
                    <w:t>达标</w:t>
                  </w:r>
                </w:p>
              </w:tc>
            </w:tr>
            <w:tr w14:paraId="29377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7" w:type="pct"/>
                  <w:vAlign w:val="center"/>
                </w:tcPr>
                <w:p w14:paraId="32395A6C">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臭氧</w:t>
                  </w:r>
                </w:p>
              </w:tc>
              <w:tc>
                <w:tcPr>
                  <w:tcW w:w="1876" w:type="pct"/>
                  <w:vAlign w:val="center"/>
                </w:tcPr>
                <w:p w14:paraId="065F052A">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8h平均质量浓度</w:t>
                  </w:r>
                </w:p>
              </w:tc>
              <w:tc>
                <w:tcPr>
                  <w:tcW w:w="551" w:type="pct"/>
                  <w:vAlign w:val="center"/>
                </w:tcPr>
                <w:p w14:paraId="2C016424">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105</w:t>
                  </w:r>
                </w:p>
              </w:tc>
              <w:tc>
                <w:tcPr>
                  <w:tcW w:w="584" w:type="pct"/>
                  <w:vAlign w:val="center"/>
                </w:tcPr>
                <w:p w14:paraId="6EF951A4">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160</w:t>
                  </w:r>
                </w:p>
              </w:tc>
              <w:tc>
                <w:tcPr>
                  <w:tcW w:w="573" w:type="pct"/>
                  <w:vAlign w:val="center"/>
                </w:tcPr>
                <w:p w14:paraId="4FFB0773">
                  <w:pPr>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65.6%</w:t>
                  </w:r>
                </w:p>
              </w:tc>
              <w:tc>
                <w:tcPr>
                  <w:tcW w:w="647" w:type="pct"/>
                  <w:vAlign w:val="center"/>
                </w:tcPr>
                <w:p w14:paraId="04BA2E2B">
                  <w:pPr>
                    <w:jc w:val="center"/>
                    <w:rPr>
                      <w:rFonts w:eastAsia="宋体"/>
                      <w:color w:val="000000" w:themeColor="text1"/>
                      <w:kern w:val="0"/>
                      <w:szCs w:val="21"/>
                      <w14:textFill>
                        <w14:solidFill>
                          <w14:schemeClr w14:val="tx1"/>
                        </w14:solidFill>
                      </w14:textFill>
                    </w:rPr>
                  </w:pPr>
                  <w:r>
                    <w:rPr>
                      <w:rFonts w:eastAsia="宋体"/>
                      <w:color w:val="000000" w:themeColor="text1"/>
                      <w:szCs w:val="21"/>
                      <w14:textFill>
                        <w14:solidFill>
                          <w14:schemeClr w14:val="tx1"/>
                        </w14:solidFill>
                      </w14:textFill>
                    </w:rPr>
                    <w:t>达标</w:t>
                  </w:r>
                </w:p>
              </w:tc>
            </w:tr>
            <w:tr w14:paraId="0509EA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vAlign w:val="center"/>
                </w:tcPr>
                <w:p w14:paraId="01C0757A">
                  <w:pPr>
                    <w:adjustRightInd w:val="0"/>
                    <w:snapToGrid w:val="0"/>
                    <w:jc w:val="center"/>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注：一氧化碳百分位数为95，臭氧日最大8小时平均百分位数为90。</w:t>
                  </w:r>
                </w:p>
              </w:tc>
            </w:tr>
          </w:tbl>
          <w:p w14:paraId="254A13D5">
            <w:pPr>
              <w:pStyle w:val="78"/>
              <w:spacing w:line="500" w:lineRule="exact"/>
              <w:rPr>
                <w:rFonts w:eastAsia="宋体"/>
                <w:color w:val="000000" w:themeColor="text1"/>
                <w14:textFill>
                  <w14:solidFill>
                    <w14:schemeClr w14:val="tx1"/>
                  </w14:solidFill>
                </w14:textFill>
              </w:rPr>
            </w:pPr>
            <w:r>
              <w:rPr>
                <w:rFonts w:eastAsia="宋体"/>
                <w:color w:val="000000" w:themeColor="text1"/>
                <w:lang w:val="zh-CN"/>
                <w14:textFill>
                  <w14:solidFill>
                    <w14:schemeClr w14:val="tx1"/>
                  </w14:solidFill>
                </w14:textFill>
              </w:rPr>
              <w:t>根据</w:t>
            </w:r>
            <w:r>
              <w:rPr>
                <w:rFonts w:eastAsia="宋体"/>
                <w:color w:val="000000" w:themeColor="text1"/>
                <w14:textFill>
                  <w14:solidFill>
                    <w14:schemeClr w14:val="tx1"/>
                  </w14:solidFill>
                </w14:textFill>
              </w:rPr>
              <w:t>《2025年黑龙江省生态环境质量状况》</w:t>
            </w:r>
            <w:r>
              <w:rPr>
                <w:rFonts w:eastAsia="宋体"/>
                <w:color w:val="000000" w:themeColor="text1"/>
                <w:lang w:val="zh-CN"/>
                <w14:textFill>
                  <w14:solidFill>
                    <w14:schemeClr w14:val="tx1"/>
                  </w14:solidFill>
                </w14:textFill>
              </w:rPr>
              <w:t>中相关数据，</w:t>
            </w:r>
            <w:r>
              <w:rPr>
                <w:rFonts w:eastAsia="宋体"/>
                <w:color w:val="000000" w:themeColor="text1"/>
                <w14:textFill>
                  <w14:solidFill>
                    <w14:schemeClr w14:val="tx1"/>
                  </w14:solidFill>
                </w14:textFill>
              </w:rPr>
              <w:t>双鸭山市</w:t>
            </w:r>
            <w:r>
              <w:rPr>
                <w:rFonts w:eastAsia="宋体"/>
                <w:color w:val="000000" w:themeColor="text1"/>
                <w:lang w:val="zh-CN"/>
                <w14:textFill>
                  <w14:solidFill>
                    <w14:schemeClr w14:val="tx1"/>
                  </w14:solidFill>
                </w14:textFill>
              </w:rPr>
              <w:t>区域</w:t>
            </w:r>
            <w:r>
              <w:rPr>
                <w:rFonts w:eastAsia="宋体"/>
                <w:color w:val="000000" w:themeColor="text1"/>
                <w14:textFill>
                  <w14:solidFill>
                    <w14:schemeClr w14:val="tx1"/>
                  </w14:solidFill>
                </w14:textFill>
              </w:rPr>
              <w:t>细颗粒物（PM</w:t>
            </w:r>
            <w:r>
              <w:rPr>
                <w:rFonts w:eastAsia="宋体"/>
                <w:color w:val="000000" w:themeColor="text1"/>
                <w:vertAlign w:val="subscript"/>
                <w14:textFill>
                  <w14:solidFill>
                    <w14:schemeClr w14:val="tx1"/>
                  </w14:solidFill>
                </w14:textFill>
              </w:rPr>
              <w:t>2.5</w:t>
            </w:r>
            <w:r>
              <w:rPr>
                <w:rFonts w:eastAsia="宋体"/>
                <w:color w:val="000000" w:themeColor="text1"/>
                <w14:textFill>
                  <w14:solidFill>
                    <w14:schemeClr w14:val="tx1"/>
                  </w14:solidFill>
                </w14:textFill>
              </w:rPr>
              <w:t>）、可吸入颗粒物（PM</w:t>
            </w:r>
            <w:r>
              <w:rPr>
                <w:rFonts w:eastAsia="宋体"/>
                <w:color w:val="000000" w:themeColor="text1"/>
                <w:vertAlign w:val="subscript"/>
                <w14:textFill>
                  <w14:solidFill>
                    <w14:schemeClr w14:val="tx1"/>
                  </w14:solidFill>
                </w14:textFill>
              </w:rPr>
              <w:t>10</w:t>
            </w:r>
            <w:r>
              <w:rPr>
                <w:rFonts w:eastAsia="宋体"/>
                <w:color w:val="000000" w:themeColor="text1"/>
                <w14:textFill>
                  <w14:solidFill>
                    <w14:schemeClr w14:val="tx1"/>
                  </w14:solidFill>
                </w14:textFill>
              </w:rPr>
              <w:t>）、二氧化氮、二氧化硫年平均质量浓度、一氧化碳相应百分位数日平均浓度值及臭氧相应百分位数日8小时平均值符合《环境空气质量标准》（GB3095-2026）中</w:t>
            </w:r>
            <w:r>
              <w:rPr>
                <w:rFonts w:hint="eastAsia" w:eastAsia="宋体"/>
                <w:color w:val="000000" w:themeColor="text1"/>
                <w14:textFill>
                  <w14:solidFill>
                    <w14:schemeClr w14:val="tx1"/>
                  </w14:solidFill>
                </w14:textFill>
              </w:rPr>
              <w:t>表1</w:t>
            </w:r>
            <w:r>
              <w:rPr>
                <w:rFonts w:eastAsia="宋体"/>
                <w:color w:val="000000" w:themeColor="text1"/>
                <w14:textFill>
                  <w14:solidFill>
                    <w14:schemeClr w14:val="tx1"/>
                  </w14:solidFill>
                </w14:textFill>
              </w:rPr>
              <w:t>过渡阶段二级标准，因此</w:t>
            </w:r>
            <w:r>
              <w:rPr>
                <w:rFonts w:eastAsia="宋体"/>
                <w:color w:val="000000" w:themeColor="text1"/>
                <w:lang w:val="zh-CN"/>
                <w14:textFill>
                  <w14:solidFill>
                    <w14:schemeClr w14:val="tx1"/>
                  </w14:solidFill>
                </w14:textFill>
              </w:rPr>
              <w:t>区域属于环境空气质量达标区。</w:t>
            </w:r>
          </w:p>
          <w:p w14:paraId="3DB5004A">
            <w:pPr>
              <w:pStyle w:val="78"/>
              <w:spacing w:line="500" w:lineRule="exact"/>
              <w:ind w:firstLine="482"/>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（2）其他污染物</w:t>
            </w:r>
          </w:p>
          <w:p w14:paraId="35E5EE46">
            <w:pPr>
              <w:pStyle w:val="174"/>
              <w:spacing w:line="500" w:lineRule="exact"/>
              <w:ind w:firstLine="480"/>
              <w:rPr>
                <w:rFonts w:eastAsia="宋体"/>
                <w:color w:val="000000" w:themeColor="text1"/>
                <w:szCs w:val="21"/>
                <w14:textFill>
                  <w14:solidFill>
                    <w14:schemeClr w14:val="tx1"/>
                  </w14:solidFill>
                </w14:textFill>
              </w:rPr>
            </w:pPr>
            <w:r>
              <w:rPr>
                <w:rFonts w:hint="eastAsia" w:eastAsia="宋体"/>
                <w:color w:val="000000" w:themeColor="text1"/>
                <w14:textFill>
                  <w14:solidFill>
                    <w14:schemeClr w14:val="tx1"/>
                  </w14:solidFill>
                </w14:textFill>
              </w:rPr>
              <w:t>本项目的特征污染物为TSP，黑龙江中邺检测技术有限公司于202</w:t>
            </w:r>
            <w:r>
              <w:rPr>
                <w:rFonts w:hint="eastAsia" w:eastAsia="宋体"/>
                <w:color w:val="000000" w:themeColor="text1"/>
                <w:lang w:val="en-US" w:eastAsia="zh-CN"/>
                <w14:textFill>
                  <w14:solidFill>
                    <w14:schemeClr w14:val="tx1"/>
                  </w14:solidFill>
                </w14:textFill>
              </w:rPr>
              <w:t>6</w:t>
            </w:r>
            <w:r>
              <w:rPr>
                <w:rFonts w:hint="eastAsia" w:eastAsia="宋体"/>
                <w:color w:val="000000" w:themeColor="text1"/>
                <w14:textFill>
                  <w14:solidFill>
                    <w14:schemeClr w14:val="tx1"/>
                  </w14:solidFill>
                </w14:textFill>
              </w:rPr>
              <w:t>年</w:t>
            </w:r>
            <w:r>
              <w:rPr>
                <w:rFonts w:hint="eastAsia" w:eastAsia="宋体"/>
                <w:color w:val="000000" w:themeColor="text1"/>
                <w:lang w:val="en-US" w:eastAsia="zh-CN"/>
                <w14:textFill>
                  <w14:solidFill>
                    <w14:schemeClr w14:val="tx1"/>
                  </w14:solidFill>
                </w14:textFill>
              </w:rPr>
              <w:t>8</w:t>
            </w:r>
            <w:r>
              <w:rPr>
                <w:rFonts w:hint="eastAsia" w:eastAsia="宋体"/>
                <w:color w:val="000000" w:themeColor="text1"/>
                <w14:textFill>
                  <w14:solidFill>
                    <w14:schemeClr w14:val="tx1"/>
                  </w14:solidFill>
                </w14:textFill>
              </w:rPr>
              <w:t>月2</w:t>
            </w:r>
            <w:r>
              <w:rPr>
                <w:rFonts w:hint="eastAsia" w:eastAsia="宋体"/>
                <w:color w:val="000000" w:themeColor="text1"/>
                <w:lang w:val="en-US" w:eastAsia="zh-CN"/>
                <w14:textFill>
                  <w14:solidFill>
                    <w14:schemeClr w14:val="tx1"/>
                  </w14:solidFill>
                </w14:textFill>
              </w:rPr>
              <w:t>9</w:t>
            </w:r>
            <w:r>
              <w:rPr>
                <w:rFonts w:hint="eastAsia" w:eastAsia="宋体"/>
                <w:color w:val="000000" w:themeColor="text1"/>
                <w14:textFill>
                  <w14:solidFill>
                    <w14:schemeClr w14:val="tx1"/>
                  </w14:solidFill>
                </w14:textFill>
              </w:rPr>
              <w:t>日~</w:t>
            </w:r>
            <w:r>
              <w:rPr>
                <w:rFonts w:hint="eastAsia" w:eastAsia="宋体"/>
                <w:color w:val="000000" w:themeColor="text1"/>
                <w:lang w:val="en-US" w:eastAsia="zh-CN"/>
                <w14:textFill>
                  <w14:solidFill>
                    <w14:schemeClr w14:val="tx1"/>
                  </w14:solidFill>
                </w14:textFill>
              </w:rPr>
              <w:t>8</w:t>
            </w:r>
            <w:r>
              <w:rPr>
                <w:rFonts w:hint="eastAsia" w:eastAsia="宋体"/>
                <w:color w:val="000000" w:themeColor="text1"/>
                <w14:textFill>
                  <w14:solidFill>
                    <w14:schemeClr w14:val="tx1"/>
                  </w14:solidFill>
                </w14:textFill>
              </w:rPr>
              <w:t>月3</w:t>
            </w:r>
            <w:r>
              <w:rPr>
                <w:rFonts w:hint="eastAsia" w:eastAsia="宋体"/>
                <w:color w:val="000000" w:themeColor="text1"/>
                <w:lang w:val="en-US" w:eastAsia="zh-CN"/>
                <w14:textFill>
                  <w14:solidFill>
                    <w14:schemeClr w14:val="tx1"/>
                  </w14:solidFill>
                </w14:textFill>
              </w:rPr>
              <w:t>1</w:t>
            </w:r>
            <w:r>
              <w:rPr>
                <w:rFonts w:hint="eastAsia" w:eastAsia="宋体"/>
                <w:color w:val="000000" w:themeColor="text1"/>
                <w14:textFill>
                  <w14:solidFill>
                    <w14:schemeClr w14:val="tx1"/>
                  </w14:solidFill>
                </w14:textFill>
              </w:rPr>
              <w:t>日对项目所在区域进行的环境质量现状监测，TSP连续监测24小时，连续监测3天，在项目下风向设置1个监测点位，检测结果如下：</w:t>
            </w:r>
            <w:r>
              <w:rPr>
                <w:rFonts w:eastAsia="宋体"/>
                <w:color w:val="000000" w:themeColor="text1"/>
                <w14:textFill>
                  <w14:solidFill>
                    <w14:schemeClr w14:val="tx1"/>
                  </w14:solidFill>
                </w14:textFill>
              </w:rPr>
              <w:t>。</w:t>
            </w:r>
          </w:p>
          <w:p w14:paraId="598F1FA9">
            <w:pPr>
              <w:spacing w:line="480" w:lineRule="exact"/>
              <w:ind w:firstLine="480" w:firstLineChars="200"/>
              <w:rPr>
                <w:rFonts w:eastAsia="宋体"/>
                <w:color w:val="000000" w:themeColor="text1"/>
                <w:lang w:val="en-GB"/>
                <w14:textFill>
                  <w14:solidFill>
                    <w14:schemeClr w14:val="tx1"/>
                  </w14:solidFill>
                </w14:textFill>
              </w:rPr>
            </w:pPr>
            <w:r>
              <w:rPr>
                <w:rFonts w:eastAsia="宋体"/>
                <w:snapToGrid w:val="0"/>
                <w:color w:val="000000" w:themeColor="text1"/>
                <w:sz w:val="24"/>
                <w:lang w:val="en-GB"/>
                <w14:textFill>
                  <w14:solidFill>
                    <w14:schemeClr w14:val="tx1"/>
                  </w14:solidFill>
                </w14:textFill>
              </w:rPr>
              <w:t>（</w:t>
            </w:r>
            <w:r>
              <w:rPr>
                <w:rFonts w:eastAsia="宋体"/>
                <w:snapToGrid w:val="0"/>
                <w:color w:val="000000" w:themeColor="text1"/>
                <w:sz w:val="24"/>
                <w14:textFill>
                  <w14:solidFill>
                    <w14:schemeClr w14:val="tx1"/>
                  </w14:solidFill>
                </w14:textFill>
              </w:rPr>
              <w:t>1</w:t>
            </w:r>
            <w:r>
              <w:rPr>
                <w:rFonts w:eastAsia="宋体"/>
                <w:snapToGrid w:val="0"/>
                <w:color w:val="000000" w:themeColor="text1"/>
                <w:sz w:val="24"/>
                <w:lang w:val="en-GB"/>
                <w14:textFill>
                  <w14:solidFill>
                    <w14:schemeClr w14:val="tx1"/>
                  </w14:solidFill>
                </w14:textFill>
              </w:rPr>
              <w:t>）监测点位基本信息</w:t>
            </w:r>
          </w:p>
          <w:p w14:paraId="3802A116">
            <w:pPr>
              <w:jc w:val="center"/>
              <w:rPr>
                <w:rFonts w:eastAsia="宋体"/>
                <w:color w:val="000000" w:themeColor="text1"/>
                <w:sz w:val="22"/>
                <w:szCs w:val="28"/>
                <w:lang w:val="en-GB"/>
                <w14:textFill>
                  <w14:solidFill>
                    <w14:schemeClr w14:val="tx1"/>
                  </w14:solidFill>
                </w14:textFill>
              </w:rPr>
            </w:pPr>
            <w:r>
              <w:rPr>
                <w:rFonts w:eastAsia="宋体"/>
                <w:color w:val="000000" w:themeColor="text1"/>
                <w:sz w:val="22"/>
                <w:szCs w:val="32"/>
                <w14:textFill>
                  <w14:solidFill>
                    <w14:schemeClr w14:val="tx1"/>
                  </w14:solidFill>
                </w14:textFill>
              </w:rPr>
              <w:t>表3-1 特征污染物监测点位基本信息</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23"/>
              <w:gridCol w:w="1798"/>
              <w:gridCol w:w="1693"/>
              <w:gridCol w:w="854"/>
              <w:gridCol w:w="1326"/>
              <w:gridCol w:w="1056"/>
            </w:tblGrid>
            <w:tr w14:paraId="42A55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5" w:type="pct"/>
                  <w:vMerge w:val="restart"/>
                  <w:vAlign w:val="center"/>
                </w:tcPr>
                <w:p w14:paraId="5E8154E4">
                  <w:pPr>
                    <w:spacing w:line="320" w:lineRule="atLeast"/>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监测点名称</w:t>
                  </w:r>
                </w:p>
              </w:tc>
              <w:tc>
                <w:tcPr>
                  <w:tcW w:w="2223" w:type="pct"/>
                  <w:gridSpan w:val="2"/>
                  <w:vAlign w:val="center"/>
                </w:tcPr>
                <w:p w14:paraId="5B78E0EE">
                  <w:pPr>
                    <w:spacing w:line="320" w:lineRule="atLeast"/>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监测点坐标/°</w:t>
                  </w:r>
                </w:p>
              </w:tc>
              <w:tc>
                <w:tcPr>
                  <w:tcW w:w="544" w:type="pct"/>
                  <w:vMerge w:val="restart"/>
                  <w:vAlign w:val="center"/>
                </w:tcPr>
                <w:p w14:paraId="020A7E14">
                  <w:pPr>
                    <w:spacing w:line="320" w:lineRule="atLeast"/>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监测因子</w:t>
                  </w:r>
                </w:p>
              </w:tc>
              <w:tc>
                <w:tcPr>
                  <w:tcW w:w="1516" w:type="pct"/>
                  <w:gridSpan w:val="2"/>
                  <w:vMerge w:val="restart"/>
                  <w:vAlign w:val="center"/>
                </w:tcPr>
                <w:p w14:paraId="4414935A">
                  <w:pPr>
                    <w:spacing w:line="320" w:lineRule="atLeast"/>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监测时段</w:t>
                  </w:r>
                </w:p>
              </w:tc>
            </w:tr>
            <w:tr w14:paraId="211BF8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15" w:type="pct"/>
                  <w:vMerge w:val="continue"/>
                  <w:vAlign w:val="center"/>
                </w:tcPr>
                <w:p w14:paraId="4DE61362">
                  <w:pPr>
                    <w:spacing w:line="320" w:lineRule="atLeast"/>
                    <w:jc w:val="center"/>
                    <w:rPr>
                      <w:rFonts w:eastAsia="宋体"/>
                      <w:color w:val="000000" w:themeColor="text1"/>
                      <w:sz w:val="24"/>
                      <w14:textFill>
                        <w14:solidFill>
                          <w14:schemeClr w14:val="tx1"/>
                        </w14:solidFill>
                      </w14:textFill>
                    </w:rPr>
                  </w:pPr>
                </w:p>
              </w:tc>
              <w:tc>
                <w:tcPr>
                  <w:tcW w:w="1145" w:type="pct"/>
                  <w:vAlign w:val="center"/>
                </w:tcPr>
                <w:p w14:paraId="309DA8B1">
                  <w:pPr>
                    <w:spacing w:line="240" w:lineRule="atLeast"/>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北纬</w:t>
                  </w:r>
                </w:p>
              </w:tc>
              <w:tc>
                <w:tcPr>
                  <w:tcW w:w="1077" w:type="pct"/>
                  <w:vAlign w:val="center"/>
                </w:tcPr>
                <w:p w14:paraId="5615E902">
                  <w:pPr>
                    <w:spacing w:line="240" w:lineRule="atLeast"/>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东经</w:t>
                  </w:r>
                </w:p>
              </w:tc>
              <w:tc>
                <w:tcPr>
                  <w:tcW w:w="544" w:type="pct"/>
                  <w:vMerge w:val="continue"/>
                  <w:vAlign w:val="center"/>
                </w:tcPr>
                <w:p w14:paraId="2F8313D8">
                  <w:pPr>
                    <w:spacing w:line="320" w:lineRule="atLeast"/>
                    <w:jc w:val="center"/>
                    <w:rPr>
                      <w:rFonts w:eastAsia="宋体"/>
                      <w:color w:val="000000" w:themeColor="text1"/>
                      <w:sz w:val="24"/>
                      <w14:textFill>
                        <w14:solidFill>
                          <w14:schemeClr w14:val="tx1"/>
                        </w14:solidFill>
                      </w14:textFill>
                    </w:rPr>
                  </w:pPr>
                </w:p>
              </w:tc>
              <w:tc>
                <w:tcPr>
                  <w:tcW w:w="1516" w:type="pct"/>
                  <w:gridSpan w:val="2"/>
                  <w:vMerge w:val="continue"/>
                  <w:vAlign w:val="center"/>
                </w:tcPr>
                <w:p w14:paraId="16E12DE4">
                  <w:pPr>
                    <w:spacing w:line="320" w:lineRule="atLeast"/>
                    <w:jc w:val="center"/>
                    <w:rPr>
                      <w:rFonts w:eastAsia="宋体"/>
                      <w:color w:val="000000" w:themeColor="text1"/>
                      <w:sz w:val="24"/>
                      <w14:textFill>
                        <w14:solidFill>
                          <w14:schemeClr w14:val="tx1"/>
                        </w14:solidFill>
                      </w14:textFill>
                    </w:rPr>
                  </w:pPr>
                </w:p>
              </w:tc>
            </w:tr>
            <w:tr w14:paraId="31049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15" w:type="pct"/>
                  <w:vAlign w:val="center"/>
                </w:tcPr>
                <w:p w14:paraId="72921731">
                  <w:pPr>
                    <w:spacing w:line="320" w:lineRule="atLeast"/>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下风向监测点</w:t>
                  </w:r>
                </w:p>
              </w:tc>
              <w:tc>
                <w:tcPr>
                  <w:tcW w:w="1145" w:type="pct"/>
                  <w:vAlign w:val="center"/>
                </w:tcPr>
                <w:p w14:paraId="455C1941">
                  <w:pPr>
                    <w:pStyle w:val="73"/>
                    <w:rPr>
                      <w:rFonts w:cs="Times New Roman"/>
                      <w:color w:val="000000" w:themeColor="text1"/>
                      <w:sz w:val="22"/>
                      <w:szCs w:val="24"/>
                      <w14:textFill>
                        <w14:solidFill>
                          <w14:schemeClr w14:val="tx1"/>
                        </w14:solidFill>
                      </w14:textFill>
                    </w:rPr>
                  </w:pPr>
                  <w:r>
                    <w:rPr>
                      <w:rFonts w:hint="eastAsia" w:cs="Times New Roman"/>
                      <w:color w:val="000000" w:themeColor="text1"/>
                      <w:sz w:val="22"/>
                      <w:szCs w:val="24"/>
                      <w14:textFill>
                        <w14:solidFill>
                          <w14:schemeClr w14:val="tx1"/>
                        </w14:solidFill>
                      </w14:textFill>
                    </w:rPr>
                    <w:t>131.17959522</w:t>
                  </w:r>
                </w:p>
              </w:tc>
              <w:tc>
                <w:tcPr>
                  <w:tcW w:w="1077" w:type="pct"/>
                  <w:vAlign w:val="center"/>
                </w:tcPr>
                <w:p w14:paraId="2C64F9A8">
                  <w:pPr>
                    <w:pStyle w:val="73"/>
                    <w:rPr>
                      <w:rFonts w:cs="Times New Roman"/>
                      <w:color w:val="000000" w:themeColor="text1"/>
                      <w:sz w:val="22"/>
                      <w:szCs w:val="24"/>
                      <w14:textFill>
                        <w14:solidFill>
                          <w14:schemeClr w14:val="tx1"/>
                        </w14:solidFill>
                      </w14:textFill>
                    </w:rPr>
                  </w:pPr>
                  <w:r>
                    <w:rPr>
                      <w:rFonts w:hint="eastAsia" w:cs="Times New Roman"/>
                      <w:color w:val="000000" w:themeColor="text1"/>
                      <w:sz w:val="22"/>
                      <w:szCs w:val="24"/>
                      <w14:textFill>
                        <w14:solidFill>
                          <w14:schemeClr w14:val="tx1"/>
                        </w14:solidFill>
                      </w14:textFill>
                    </w:rPr>
                    <w:t>46.71997594</w:t>
                  </w:r>
                </w:p>
              </w:tc>
              <w:tc>
                <w:tcPr>
                  <w:tcW w:w="544" w:type="pct"/>
                  <w:vAlign w:val="center"/>
                </w:tcPr>
                <w:p w14:paraId="7DB16A7F">
                  <w:pPr>
                    <w:spacing w:line="240" w:lineRule="atLeast"/>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TSP</w:t>
                  </w:r>
                </w:p>
              </w:tc>
              <w:tc>
                <w:tcPr>
                  <w:tcW w:w="844" w:type="pct"/>
                  <w:vAlign w:val="center"/>
                </w:tcPr>
                <w:p w14:paraId="22927DB4">
                  <w:pPr>
                    <w:spacing w:line="320" w:lineRule="atLeast"/>
                    <w:jc w:val="center"/>
                    <w:rPr>
                      <w:rFonts w:eastAsia="宋体"/>
                      <w:color w:val="000000" w:themeColor="text1"/>
                      <w:sz w:val="24"/>
                      <w:szCs w:val="32"/>
                      <w14:textFill>
                        <w14:solidFill>
                          <w14:schemeClr w14:val="tx1"/>
                        </w14:solidFill>
                      </w14:textFill>
                    </w:rPr>
                  </w:pPr>
                  <w:r>
                    <w:rPr>
                      <w:rFonts w:eastAsia="宋体"/>
                      <w:color w:val="000000" w:themeColor="text1"/>
                      <w:sz w:val="24"/>
                      <w:szCs w:val="32"/>
                      <w14:textFill>
                        <w14:solidFill>
                          <w14:schemeClr w14:val="tx1"/>
                        </w14:solidFill>
                      </w14:textFill>
                    </w:rPr>
                    <w:t>2026.</w:t>
                  </w:r>
                  <w:r>
                    <w:rPr>
                      <w:rFonts w:hint="eastAsia" w:eastAsia="宋体"/>
                      <w:color w:val="000000" w:themeColor="text1"/>
                      <w:sz w:val="24"/>
                      <w:szCs w:val="32"/>
                      <w:lang w:val="en-US" w:eastAsia="zh-CN"/>
                      <w14:textFill>
                        <w14:solidFill>
                          <w14:schemeClr w14:val="tx1"/>
                        </w14:solidFill>
                      </w14:textFill>
                    </w:rPr>
                    <w:t>8</w:t>
                  </w:r>
                  <w:r>
                    <w:rPr>
                      <w:rFonts w:eastAsia="宋体"/>
                      <w:color w:val="000000" w:themeColor="text1"/>
                      <w:sz w:val="24"/>
                      <w:szCs w:val="32"/>
                      <w14:textFill>
                        <w14:solidFill>
                          <w14:schemeClr w14:val="tx1"/>
                        </w14:solidFill>
                      </w14:textFill>
                    </w:rPr>
                    <w:t>.</w:t>
                  </w:r>
                  <w:r>
                    <w:rPr>
                      <w:rFonts w:hint="eastAsia" w:eastAsia="宋体"/>
                      <w:color w:val="000000" w:themeColor="text1"/>
                      <w:sz w:val="24"/>
                      <w:szCs w:val="32"/>
                      <w:lang w:val="en-US" w:eastAsia="zh-CN"/>
                      <w14:textFill>
                        <w14:solidFill>
                          <w14:schemeClr w14:val="tx1"/>
                        </w14:solidFill>
                      </w14:textFill>
                    </w:rPr>
                    <w:t>29</w:t>
                  </w:r>
                  <w:r>
                    <w:rPr>
                      <w:rFonts w:eastAsia="宋体"/>
                      <w:color w:val="000000" w:themeColor="text1"/>
                      <w:sz w:val="24"/>
                      <w:szCs w:val="32"/>
                      <w14:textFill>
                        <w14:solidFill>
                          <w14:schemeClr w14:val="tx1"/>
                        </w14:solidFill>
                      </w14:textFill>
                    </w:rPr>
                    <w:t>~</w:t>
                  </w:r>
                </w:p>
                <w:p w14:paraId="633536E9">
                  <w:pPr>
                    <w:spacing w:line="320" w:lineRule="atLeast"/>
                    <w:jc w:val="center"/>
                    <w:rPr>
                      <w:rFonts w:hint="default" w:eastAsia="宋体"/>
                      <w:color w:val="000000" w:themeColor="text1"/>
                      <w:sz w:val="24"/>
                      <w:lang w:val="en-US"/>
                      <w14:textFill>
                        <w14:solidFill>
                          <w14:schemeClr w14:val="tx1"/>
                        </w14:solidFill>
                      </w14:textFill>
                    </w:rPr>
                  </w:pPr>
                  <w:r>
                    <w:rPr>
                      <w:rFonts w:eastAsia="宋体"/>
                      <w:color w:val="000000" w:themeColor="text1"/>
                      <w:sz w:val="24"/>
                      <w:szCs w:val="32"/>
                      <w14:textFill>
                        <w14:solidFill>
                          <w14:schemeClr w14:val="tx1"/>
                        </w14:solidFill>
                      </w14:textFill>
                    </w:rPr>
                    <w:t>2026.</w:t>
                  </w:r>
                  <w:r>
                    <w:rPr>
                      <w:rFonts w:hint="eastAsia" w:eastAsia="宋体"/>
                      <w:color w:val="000000" w:themeColor="text1"/>
                      <w:sz w:val="24"/>
                      <w:szCs w:val="32"/>
                      <w:lang w:val="en-US" w:eastAsia="zh-CN"/>
                      <w14:textFill>
                        <w14:solidFill>
                          <w14:schemeClr w14:val="tx1"/>
                        </w14:solidFill>
                      </w14:textFill>
                    </w:rPr>
                    <w:t>8</w:t>
                  </w:r>
                  <w:r>
                    <w:rPr>
                      <w:rFonts w:eastAsia="宋体"/>
                      <w:color w:val="000000" w:themeColor="text1"/>
                      <w:sz w:val="24"/>
                      <w:szCs w:val="32"/>
                      <w14:textFill>
                        <w14:solidFill>
                          <w14:schemeClr w14:val="tx1"/>
                        </w14:solidFill>
                      </w14:textFill>
                    </w:rPr>
                    <w:t>.</w:t>
                  </w:r>
                  <w:r>
                    <w:rPr>
                      <w:rFonts w:hint="eastAsia" w:eastAsia="宋体"/>
                      <w:color w:val="000000" w:themeColor="text1"/>
                      <w:sz w:val="24"/>
                      <w:szCs w:val="32"/>
                      <w:lang w:val="en-US" w:eastAsia="zh-CN"/>
                      <w14:textFill>
                        <w14:solidFill>
                          <w14:schemeClr w14:val="tx1"/>
                        </w14:solidFill>
                      </w14:textFill>
                    </w:rPr>
                    <w:t>31</w:t>
                  </w:r>
                </w:p>
              </w:tc>
              <w:tc>
                <w:tcPr>
                  <w:tcW w:w="671" w:type="pct"/>
                  <w:vAlign w:val="center"/>
                </w:tcPr>
                <w:p w14:paraId="1B0DA5D7">
                  <w:pPr>
                    <w:pStyle w:val="10"/>
                    <w:rPr>
                      <w:rFonts w:eastAsia="宋体"/>
                      <w:color w:val="000000" w:themeColor="text1"/>
                      <w:sz w:val="24"/>
                      <w:szCs w:val="32"/>
                      <w14:textFill>
                        <w14:solidFill>
                          <w14:schemeClr w14:val="tx1"/>
                        </w14:solidFill>
                      </w14:textFill>
                    </w:rPr>
                  </w:pPr>
                  <w:r>
                    <w:rPr>
                      <w:color w:val="000000" w:themeColor="text1"/>
                      <w14:textFill>
                        <w14:solidFill>
                          <w14:schemeClr w14:val="tx1"/>
                        </w14:solidFill>
                      </w14:textFill>
                    </w:rPr>
                    <w:t>日均值</w:t>
                  </w:r>
                </w:p>
              </w:tc>
            </w:tr>
          </w:tbl>
          <w:p w14:paraId="15B15EFA">
            <w:pPr>
              <w:adjustRightInd w:val="0"/>
              <w:snapToGrid w:val="0"/>
              <w:jc w:val="center"/>
              <w:textAlignment w:val="center"/>
              <w:rPr>
                <w:rFonts w:eastAsia="宋体"/>
                <w:b/>
                <w:color w:val="000000" w:themeColor="text1"/>
                <w:sz w:val="24"/>
                <w14:textFill>
                  <w14:solidFill>
                    <w14:schemeClr w14:val="tx1"/>
                  </w14:solidFill>
                </w14:textFill>
              </w:rPr>
            </w:pPr>
            <w:bookmarkStart w:id="32" w:name="_Hlk105061816"/>
            <w:r>
              <w:rPr>
                <w:rFonts w:eastAsia="宋体"/>
                <w:color w:val="000000" w:themeColor="text1"/>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4740275</wp:posOffset>
                      </wp:positionH>
                      <wp:positionV relativeFrom="paragraph">
                        <wp:posOffset>3046095</wp:posOffset>
                      </wp:positionV>
                      <wp:extent cx="92710" cy="92710"/>
                      <wp:effectExtent l="12700" t="12700" r="27940" b="27940"/>
                      <wp:wrapNone/>
                      <wp:docPr id="12" name="椭圆 12"/>
                      <wp:cNvGraphicFramePr/>
                      <a:graphic xmlns:a="http://schemas.openxmlformats.org/drawingml/2006/main">
                        <a:graphicData uri="http://schemas.microsoft.com/office/word/2010/wordprocessingShape">
                          <wps:wsp>
                            <wps:cNvSpPr/>
                            <wps:spPr>
                              <a:xfrm>
                                <a:off x="6153785" y="6169025"/>
                                <a:ext cx="92710" cy="92710"/>
                              </a:xfrm>
                              <a:prstGeom prst="ellipse">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73.25pt;margin-top:239.85pt;height:7.3pt;width:7.3pt;z-index:251671552;v-text-anchor:middle;mso-width-relative:page;mso-height-relative:page;" fillcolor="#FFFF00" filled="t" stroked="t" coordsize="21600,21600" o:gfxdata="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hCPnW2QAAAAsBAAAPAAAAAAAA&#10;AAEAIAAAACIAAABkcnMvZG93bnJldi54bWxQSwECFAAUAAAACACHTuJA0naSe4MCAAANBQAADgAA&#10;AAAAAAABACAAAAAoAQAAZHJzL2Uyb0RvYy54bWxQSwUGAAAAAAYABgBZAQAAHQYAAAAA&#10;">
                      <v:fill on="t" focussize="0,0"/>
                      <v:stroke weight="2pt" color="#376092 [2404]" joinstyle="round"/>
                      <v:imagedata o:title=""/>
                      <o:lock v:ext="edit" aspectratio="f"/>
                    </v:shape>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3160395</wp:posOffset>
                      </wp:positionH>
                      <wp:positionV relativeFrom="paragraph">
                        <wp:posOffset>1519555</wp:posOffset>
                      </wp:positionV>
                      <wp:extent cx="92710" cy="92710"/>
                      <wp:effectExtent l="12700" t="12700" r="27940" b="27940"/>
                      <wp:wrapNone/>
                      <wp:docPr id="13" name="椭圆 13"/>
                      <wp:cNvGraphicFramePr/>
                      <a:graphic xmlns:a="http://schemas.openxmlformats.org/drawingml/2006/main">
                        <a:graphicData uri="http://schemas.microsoft.com/office/word/2010/wordprocessingShape">
                          <wps:wsp>
                            <wps:cNvSpPr/>
                            <wps:spPr>
                              <a:xfrm>
                                <a:off x="0" y="0"/>
                                <a:ext cx="92710" cy="92710"/>
                              </a:xfrm>
                              <a:prstGeom prst="ellipse">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48.85pt;margin-top:119.65pt;height:7.3pt;width:7.3pt;z-index:251672576;v-text-anchor:middle;mso-width-relative:page;mso-height-relative:page;" fillcolor="#FFFF00" filled="t" stroked="t" coordsize="21600,21600" o:gfxdata="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3YFj62QAAAAsBAAAPAAAAAAAAAAEAIAAAACIAAABk&#10;cnMvZG93bnJldi54bWxQSwECFAAUAAAACACHTuJAbqk+XXcCAAABBQAADgAAAAAAAAABACAAAAAo&#10;AQAAZHJzL2Uyb0RvYy54bWxQSwUGAAAAAAYABgBZAQAAEQYAAAAA&#10;">
                      <v:fill on="t" focussize="0,0"/>
                      <v:stroke weight="2pt" color="#376092 [2404]" joinstyle="round"/>
                      <v:imagedata o:title=""/>
                      <o:lock v:ext="edit" aspectratio="f"/>
                    </v:shape>
                  </w:pict>
                </mc:Fallback>
              </mc:AlternateContent>
            </w:r>
            <w:r>
              <w:drawing>
                <wp:inline distT="0" distB="0" distL="114300" distR="114300">
                  <wp:extent cx="5038090" cy="3827145"/>
                  <wp:effectExtent l="0" t="0" r="10160" b="1905"/>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26"/>
                          <a:stretch>
                            <a:fillRect/>
                          </a:stretch>
                        </pic:blipFill>
                        <pic:spPr>
                          <a:xfrm>
                            <a:off x="0" y="0"/>
                            <a:ext cx="5038090" cy="3827145"/>
                          </a:xfrm>
                          <a:prstGeom prst="rect">
                            <a:avLst/>
                          </a:prstGeom>
                          <a:noFill/>
                          <a:ln>
                            <a:noFill/>
                          </a:ln>
                        </pic:spPr>
                      </pic:pic>
                    </a:graphicData>
                  </a:graphic>
                </wp:inline>
              </w:drawing>
            </w:r>
            <w:r>
              <w:rPr>
                <w:rFonts w:eastAsia="宋体"/>
                <w:color w:val="000000" w:themeColor="text1"/>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4547235</wp:posOffset>
                      </wp:positionH>
                      <wp:positionV relativeFrom="paragraph">
                        <wp:posOffset>2844800</wp:posOffset>
                      </wp:positionV>
                      <wp:extent cx="305435" cy="147955"/>
                      <wp:effectExtent l="12700" t="12700" r="24765" b="29845"/>
                      <wp:wrapNone/>
                      <wp:docPr id="10" name="矩形 10"/>
                      <wp:cNvGraphicFramePr/>
                      <a:graphic xmlns:a="http://schemas.openxmlformats.org/drawingml/2006/main">
                        <a:graphicData uri="http://schemas.microsoft.com/office/word/2010/wordprocessingShape">
                          <wps:wsp>
                            <wps:cNvSpPr/>
                            <wps:spPr>
                              <a:xfrm>
                                <a:off x="5977890" y="5744210"/>
                                <a:ext cx="305435" cy="147955"/>
                              </a:xfrm>
                              <a:prstGeom prst="rect">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817810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8.05pt;margin-top:224pt;height:11.65pt;width:24.05pt;z-index:251670528;v-text-anchor:middle;mso-width-relative:page;mso-height-relative:page;" fillcolor="#FFFF00" filled="t" stroked="t" coordsize="21600,21600" o:gfxdata="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g8Len2wAAAAsBAAAPAAAAAAAAAAEAIAAAACIAAABkcnMv&#10;ZG93bnJldi54bWxQSwECFAAUAAAACACHTuJAIgCFwHICAAD1BAAADgAAAAAAAAABACAAAAAqAQAA&#10;ZHJzL2Uyb0RvYy54bWxQSwUGAAAAAAYABgBZAQAADgYAAAAA&#10;">
                      <v:fill on="t" focussize="0,0"/>
                      <v:stroke weight="2pt" color="#FFFF00 [2404]" joinstyle="round"/>
                      <v:imagedata o:title=""/>
                      <o:lock v:ext="edit" aspectratio="f"/>
                      <v:textbox>
                        <w:txbxContent>
                          <w:p w14:paraId="78178101">
                            <w:pPr>
                              <w:jc w:val="center"/>
                            </w:pPr>
                          </w:p>
                        </w:txbxContent>
                      </v:textbox>
                    </v:rect>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3568065</wp:posOffset>
                      </wp:positionH>
                      <wp:positionV relativeFrom="paragraph">
                        <wp:posOffset>2622550</wp:posOffset>
                      </wp:positionV>
                      <wp:extent cx="1377315" cy="683260"/>
                      <wp:effectExtent l="4445" t="4445" r="8890" b="17145"/>
                      <wp:wrapNone/>
                      <wp:docPr id="3" name="文本框 3"/>
                      <wp:cNvGraphicFramePr/>
                      <a:graphic xmlns:a="http://schemas.openxmlformats.org/drawingml/2006/main">
                        <a:graphicData uri="http://schemas.microsoft.com/office/word/2010/wordprocessingShape">
                          <wps:wsp>
                            <wps:cNvSpPr txBox="1"/>
                            <wps:spPr>
                              <a:xfrm>
                                <a:off x="5182870" y="6141720"/>
                                <a:ext cx="1377315" cy="6832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D084097">
                                  <w:pPr>
                                    <w:jc w:val="center"/>
                                  </w:pPr>
                                  <w:r>
                                    <w:rPr>
                                      <w:rFonts w:hint="eastAsia"/>
                                    </w:rPr>
                                    <w:t>图例</w:t>
                                  </w:r>
                                </w:p>
                                <w:p w14:paraId="4697B2BE">
                                  <w:r>
                                    <w:rPr>
                                      <w:rFonts w:hint="eastAsia"/>
                                    </w:rPr>
                                    <w:t>本项目位置</w:t>
                                  </w:r>
                                </w:p>
                                <w:p w14:paraId="4A356A05">
                                  <w:r>
                                    <w:rPr>
                                      <w:rFonts w:hint="eastAsia"/>
                                    </w:rPr>
                                    <w:t>环境空气监测点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0.95pt;margin-top:206.5pt;height:53.8pt;width:108.45pt;z-index:251669504;mso-width-relative:page;mso-height-relative:page;" fillcolor="#FFFFFF [3201]" filled="t" stroked="t" coordsize="21600,21600" o:gfxdata="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xr/6j1wAAAAsBAAAPAAAAAAAAAAEAIAAAACIAAABkcnMvZG93bnJldi54bWxQSwECFAAU&#10;AAAACACHTuJA35nKv2QCAADDBAAADgAAAAAAAAABACAAAAAmAQAAZHJzL2Uyb0RvYy54bWxQSwUG&#10;AAAAAAYABgBZAQAA/AUAAAAA&#10;">
                      <v:fill on="t" focussize="0,0"/>
                      <v:stroke weight="0.5pt" color="#000000 [3204]" joinstyle="round"/>
                      <v:imagedata o:title=""/>
                      <o:lock v:ext="edit" aspectratio="f"/>
                      <v:textbox>
                        <w:txbxContent>
                          <w:p w14:paraId="3D084097">
                            <w:pPr>
                              <w:jc w:val="center"/>
                            </w:pPr>
                            <w:r>
                              <w:rPr>
                                <w:rFonts w:hint="eastAsia"/>
                              </w:rPr>
                              <w:t>图例</w:t>
                            </w:r>
                          </w:p>
                          <w:p w14:paraId="4697B2BE">
                            <w:r>
                              <w:rPr>
                                <w:rFonts w:hint="eastAsia"/>
                              </w:rPr>
                              <w:t>本项目位置</w:t>
                            </w:r>
                          </w:p>
                          <w:p w14:paraId="4A356A05">
                            <w:r>
                              <w:rPr>
                                <w:rFonts w:hint="eastAsia"/>
                              </w:rPr>
                              <w:t>环境空气监测点</w:t>
                            </w:r>
                          </w:p>
                        </w:txbxContent>
                      </v:textbox>
                    </v:shape>
                  </w:pict>
                </mc:Fallback>
              </mc:AlternateContent>
            </w:r>
          </w:p>
          <w:p w14:paraId="59B0AEB4">
            <w:pPr>
              <w:adjustRightInd w:val="0"/>
              <w:snapToGrid w:val="0"/>
              <w:spacing w:line="500" w:lineRule="exact"/>
              <w:jc w:val="center"/>
              <w:textAlignment w:val="center"/>
              <w:rPr>
                <w:rFonts w:eastAsia="宋体"/>
                <w:color w:val="000000" w:themeColor="text1"/>
                <w:sz w:val="24"/>
                <w:lang w:val="en-GB"/>
                <w14:textFill>
                  <w14:solidFill>
                    <w14:schemeClr w14:val="tx1"/>
                  </w14:solidFill>
                </w14:textFill>
              </w:rPr>
            </w:pPr>
            <w:r>
              <w:rPr>
                <w:rFonts w:eastAsia="宋体"/>
                <w:b/>
                <w:color w:val="000000" w:themeColor="text1"/>
                <w:sz w:val="24"/>
                <w14:textFill>
                  <w14:solidFill>
                    <w14:schemeClr w14:val="tx1"/>
                  </w14:solidFill>
                </w14:textFill>
              </w:rPr>
              <w:t>图3-1大气监测点位分布图</w:t>
            </w:r>
            <w:bookmarkEnd w:id="32"/>
          </w:p>
          <w:p w14:paraId="4FA91E23">
            <w:pPr>
              <w:pStyle w:val="174"/>
              <w:spacing w:line="500" w:lineRule="exact"/>
              <w:ind w:firstLine="480"/>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（2）数据监测结果</w:t>
            </w:r>
          </w:p>
          <w:p w14:paraId="723D3DBD">
            <w:pPr>
              <w:jc w:val="center"/>
              <w:rPr>
                <w:rFonts w:eastAsia="宋体"/>
                <w:color w:val="000000" w:themeColor="text1"/>
                <w:szCs w:val="28"/>
                <w14:textFill>
                  <w14:solidFill>
                    <w14:schemeClr w14:val="tx1"/>
                  </w14:solidFill>
                </w14:textFill>
              </w:rPr>
            </w:pPr>
            <w:r>
              <w:rPr>
                <w:rFonts w:eastAsia="宋体"/>
                <w:color w:val="000000" w:themeColor="text1"/>
                <w:szCs w:val="28"/>
                <w14:textFill>
                  <w14:solidFill>
                    <w14:schemeClr w14:val="tx1"/>
                  </w14:solidFill>
                </w14:textFill>
              </w:rPr>
              <w:t>表3-2 特征污染物监测结果</w:t>
            </w:r>
          </w:p>
          <w:tbl>
            <w:tblPr>
              <w:tblStyle w:val="34"/>
              <w:tblW w:w="765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1297"/>
              <w:gridCol w:w="1343"/>
              <w:gridCol w:w="1288"/>
              <w:gridCol w:w="1095"/>
              <w:gridCol w:w="952"/>
              <w:gridCol w:w="796"/>
            </w:tblGrid>
            <w:tr w14:paraId="4DF40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80" w:type="pct"/>
                  <w:tcBorders>
                    <w:tl2br w:val="nil"/>
                    <w:tr2bl w:val="nil"/>
                  </w:tcBorders>
                  <w:vAlign w:val="center"/>
                </w:tcPr>
                <w:p w14:paraId="44BADB1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名称</w:t>
                  </w:r>
                </w:p>
              </w:tc>
              <w:tc>
                <w:tcPr>
                  <w:tcW w:w="846" w:type="pct"/>
                  <w:tcBorders>
                    <w:tl2br w:val="nil"/>
                    <w:tr2bl w:val="nil"/>
                  </w:tcBorders>
                  <w:vAlign w:val="center"/>
                </w:tcPr>
                <w:p w14:paraId="141DD5BA">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污染物</w:t>
                  </w:r>
                </w:p>
              </w:tc>
              <w:tc>
                <w:tcPr>
                  <w:tcW w:w="876" w:type="pct"/>
                  <w:tcBorders>
                    <w:tl2br w:val="nil"/>
                    <w:tr2bl w:val="nil"/>
                  </w:tcBorders>
                  <w:vAlign w:val="center"/>
                </w:tcPr>
                <w:p w14:paraId="3CE6526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评价标准（μg/m</w:t>
                  </w:r>
                  <w:r>
                    <w:rPr>
                      <w:rFonts w:eastAsia="宋体"/>
                      <w:color w:val="000000" w:themeColor="text1"/>
                      <w:sz w:val="24"/>
                      <w:vertAlign w:val="superscript"/>
                      <w14:textFill>
                        <w14:solidFill>
                          <w14:schemeClr w14:val="tx1"/>
                        </w14:solidFill>
                      </w14:textFill>
                    </w:rPr>
                    <w:t>3</w:t>
                  </w:r>
                  <w:r>
                    <w:rPr>
                      <w:rFonts w:eastAsia="宋体"/>
                      <w:color w:val="000000" w:themeColor="text1"/>
                      <w:sz w:val="24"/>
                      <w14:textFill>
                        <w14:solidFill>
                          <w14:schemeClr w14:val="tx1"/>
                        </w14:solidFill>
                      </w14:textFill>
                    </w:rPr>
                    <w:t>）</w:t>
                  </w:r>
                </w:p>
              </w:tc>
              <w:tc>
                <w:tcPr>
                  <w:tcW w:w="840" w:type="pct"/>
                  <w:tcBorders>
                    <w:tl2br w:val="nil"/>
                    <w:tr2bl w:val="nil"/>
                  </w:tcBorders>
                  <w:vAlign w:val="center"/>
                </w:tcPr>
                <w:p w14:paraId="4C2D72F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浓度范围（μg/m</w:t>
                  </w:r>
                  <w:r>
                    <w:rPr>
                      <w:rFonts w:eastAsia="宋体"/>
                      <w:color w:val="000000" w:themeColor="text1"/>
                      <w:sz w:val="24"/>
                      <w:vertAlign w:val="superscript"/>
                      <w14:textFill>
                        <w14:solidFill>
                          <w14:schemeClr w14:val="tx1"/>
                        </w14:solidFill>
                      </w14:textFill>
                    </w:rPr>
                    <w:t>3</w:t>
                  </w:r>
                  <w:r>
                    <w:rPr>
                      <w:rFonts w:eastAsia="宋体"/>
                      <w:color w:val="000000" w:themeColor="text1"/>
                      <w:sz w:val="24"/>
                      <w14:textFill>
                        <w14:solidFill>
                          <w14:schemeClr w14:val="tx1"/>
                        </w14:solidFill>
                      </w14:textFill>
                    </w:rPr>
                    <w:t>）</w:t>
                  </w:r>
                </w:p>
              </w:tc>
              <w:tc>
                <w:tcPr>
                  <w:tcW w:w="714" w:type="pct"/>
                  <w:tcBorders>
                    <w:tl2br w:val="nil"/>
                    <w:tr2bl w:val="nil"/>
                  </w:tcBorders>
                  <w:vAlign w:val="center"/>
                </w:tcPr>
                <w:p w14:paraId="19DE315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最大占标率%</w:t>
                  </w:r>
                </w:p>
              </w:tc>
              <w:tc>
                <w:tcPr>
                  <w:tcW w:w="621" w:type="pct"/>
                  <w:tcBorders>
                    <w:tl2br w:val="nil"/>
                    <w:tr2bl w:val="nil"/>
                  </w:tcBorders>
                  <w:vAlign w:val="center"/>
                </w:tcPr>
                <w:p w14:paraId="40E4409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超标率%</w:t>
                  </w:r>
                </w:p>
              </w:tc>
              <w:tc>
                <w:tcPr>
                  <w:tcW w:w="519" w:type="pct"/>
                  <w:tcBorders>
                    <w:tl2br w:val="nil"/>
                    <w:tr2bl w:val="nil"/>
                  </w:tcBorders>
                  <w:vAlign w:val="center"/>
                </w:tcPr>
                <w:p w14:paraId="33CC4AB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达标情况</w:t>
                  </w:r>
                </w:p>
              </w:tc>
            </w:tr>
            <w:tr w14:paraId="034B5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580" w:type="pct"/>
                  <w:tcBorders>
                    <w:tl2br w:val="nil"/>
                    <w:tr2bl w:val="nil"/>
                  </w:tcBorders>
                  <w:vAlign w:val="center"/>
                </w:tcPr>
                <w:p w14:paraId="3D48EA3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TSP监测点</w:t>
                  </w:r>
                </w:p>
              </w:tc>
              <w:tc>
                <w:tcPr>
                  <w:tcW w:w="846" w:type="pct"/>
                  <w:tcBorders>
                    <w:tl2br w:val="nil"/>
                    <w:tr2bl w:val="nil"/>
                  </w:tcBorders>
                  <w:vAlign w:val="center"/>
                </w:tcPr>
                <w:p w14:paraId="79953FF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颗粒物</w:t>
                  </w:r>
                </w:p>
              </w:tc>
              <w:tc>
                <w:tcPr>
                  <w:tcW w:w="876" w:type="pct"/>
                  <w:tcBorders>
                    <w:tl2br w:val="nil"/>
                    <w:tr2bl w:val="nil"/>
                  </w:tcBorders>
                  <w:vAlign w:val="center"/>
                </w:tcPr>
                <w:p w14:paraId="58AF5E8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300</w:t>
                  </w:r>
                </w:p>
              </w:tc>
              <w:tc>
                <w:tcPr>
                  <w:tcW w:w="840" w:type="pct"/>
                  <w:tcBorders>
                    <w:tl2br w:val="nil"/>
                    <w:tr2bl w:val="nil"/>
                  </w:tcBorders>
                  <w:vAlign w:val="center"/>
                </w:tcPr>
                <w:p w14:paraId="7EDCF4D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18</w:t>
                  </w:r>
                  <w:r>
                    <w:rPr>
                      <w:rFonts w:hint="eastAsia" w:eastAsia="宋体"/>
                      <w:color w:val="000000" w:themeColor="text1"/>
                      <w:sz w:val="24"/>
                      <w:lang w:val="en-US" w:eastAsia="zh-CN"/>
                      <w14:textFill>
                        <w14:solidFill>
                          <w14:schemeClr w14:val="tx1"/>
                        </w14:solidFill>
                      </w14:textFill>
                    </w:rPr>
                    <w:t>3</w:t>
                  </w:r>
                  <w:r>
                    <w:rPr>
                      <w:rFonts w:eastAsia="宋体"/>
                      <w:color w:val="000000" w:themeColor="text1"/>
                      <w:sz w:val="24"/>
                      <w14:textFill>
                        <w14:solidFill>
                          <w14:schemeClr w14:val="tx1"/>
                        </w14:solidFill>
                      </w14:textFill>
                    </w:rPr>
                    <w:t>-191</w:t>
                  </w:r>
                </w:p>
              </w:tc>
              <w:tc>
                <w:tcPr>
                  <w:tcW w:w="714" w:type="pct"/>
                  <w:tcBorders>
                    <w:tl2br w:val="nil"/>
                    <w:tr2bl w:val="nil"/>
                  </w:tcBorders>
                  <w:vAlign w:val="center"/>
                </w:tcPr>
                <w:p w14:paraId="6FC86F7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63.67</w:t>
                  </w:r>
                </w:p>
              </w:tc>
              <w:tc>
                <w:tcPr>
                  <w:tcW w:w="621" w:type="pct"/>
                  <w:tcBorders>
                    <w:tl2br w:val="nil"/>
                    <w:tr2bl w:val="nil"/>
                  </w:tcBorders>
                  <w:vAlign w:val="center"/>
                </w:tcPr>
                <w:p w14:paraId="20A056FF">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0</w:t>
                  </w:r>
                </w:p>
              </w:tc>
              <w:tc>
                <w:tcPr>
                  <w:tcW w:w="519" w:type="pct"/>
                  <w:tcBorders>
                    <w:tl2br w:val="nil"/>
                    <w:tr2bl w:val="nil"/>
                  </w:tcBorders>
                  <w:vAlign w:val="center"/>
                </w:tcPr>
                <w:p w14:paraId="01E89FF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达标</w:t>
                  </w:r>
                </w:p>
              </w:tc>
            </w:tr>
          </w:tbl>
          <w:p w14:paraId="12CE22CD">
            <w:pPr>
              <w:pStyle w:val="174"/>
              <w:spacing w:line="500" w:lineRule="exact"/>
              <w:ind w:firstLine="48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由表3-3可知，TSP最大浓度占标率小于1，满足《环境空气质量标准》（GB3095-2026）</w:t>
            </w:r>
            <w:r>
              <w:rPr>
                <w:rFonts w:hint="eastAsia" w:ascii="Times New Roman" w:hAnsi="Times New Roman" w:eastAsia="宋体" w:cs="Times New Roman"/>
                <w:color w:val="000000" w:themeColor="text1"/>
                <w14:textFill>
                  <w14:solidFill>
                    <w14:schemeClr w14:val="tx1"/>
                  </w14:solidFill>
                </w14:textFill>
              </w:rPr>
              <w:t>表2二级</w:t>
            </w:r>
            <w:r>
              <w:rPr>
                <w:rFonts w:ascii="Times New Roman" w:hAnsi="Times New Roman" w:eastAsia="宋体" w:cs="Times New Roman"/>
                <w:color w:val="000000" w:themeColor="text1"/>
                <w14:textFill>
                  <w14:solidFill>
                    <w14:schemeClr w14:val="tx1"/>
                  </w14:solidFill>
                </w14:textFill>
              </w:rPr>
              <w:t>标准要求。</w:t>
            </w:r>
          </w:p>
          <w:p w14:paraId="5EC35A4B">
            <w:pPr>
              <w:pStyle w:val="78"/>
              <w:adjustRightInd w:val="0"/>
              <w:snapToGrid w:val="0"/>
              <w:spacing w:line="500" w:lineRule="exact"/>
              <w:ind w:firstLine="482"/>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2、地表水环境质量现状</w:t>
            </w:r>
          </w:p>
          <w:p w14:paraId="6558ADC2">
            <w:pPr>
              <w:spacing w:line="360" w:lineRule="auto"/>
              <w:ind w:firstLine="480" w:firstLineChars="200"/>
              <w:rPr>
                <w:rFonts w:eastAsia="宋体"/>
                <w:color w:val="000000" w:themeColor="text1"/>
                <w14:textFill>
                  <w14:solidFill>
                    <w14:schemeClr w14:val="tx1"/>
                  </w14:solidFill>
                </w14:textFill>
              </w:rPr>
            </w:pPr>
            <w:r>
              <w:rPr>
                <w:rFonts w:eastAsia="宋体"/>
                <w:color w:val="000000" w:themeColor="text1"/>
                <w:kern w:val="0"/>
                <w:sz w:val="24"/>
                <w14:textFill>
                  <w14:solidFill>
                    <w14:schemeClr w14:val="tx1"/>
                  </w14:solidFill>
                </w14:textFill>
              </w:rPr>
              <w:t>本项目附近地表水体为安邦河，安邦河为松花江右岸支流，根据《全国重要江河湖泊水功能区（2011-2030）》，确定该段水质目标为Ⅳ类水体。根据《2025年黑龙江省生态环境质量状况》可知：双鸭山市参与国家考核计算的断面共6个，Ⅰ~Ⅲ类水质比例为66.7%，无劣V类水质断面。与上年同期相比，Ⅰ~Ⅲ类水质比例保持不变，均无劣V类水质断面。满足《地表水环境质量标准》（GB3838-2002）标准。</w:t>
            </w:r>
          </w:p>
          <w:p w14:paraId="291F9892">
            <w:pPr>
              <w:pStyle w:val="78"/>
              <w:adjustRightInd w:val="0"/>
              <w:snapToGrid w:val="0"/>
              <w:ind w:firstLine="482"/>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3、声环境质量现状</w:t>
            </w:r>
          </w:p>
          <w:p w14:paraId="5F2A638A">
            <w:pPr>
              <w:pStyle w:val="78"/>
              <w:widowControl/>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根据《2025年黑龙江省生态环境质量状况》，2025双鸭山市区域昼间声环境质量为二级，等效声级为54.5dB（A）；道路交通声环境质量为一级，等效声级为67.8dB（A）；功能区昼间达标率91.3%，功能区夜间达标率92.5%。</w:t>
            </w:r>
          </w:p>
          <w:p w14:paraId="223AE379">
            <w:pPr>
              <w:pStyle w:val="31"/>
              <w:widowControl w:val="0"/>
              <w:spacing w:before="0" w:after="0" w:line="360" w:lineRule="auto"/>
              <w:ind w:right="0" w:firstLine="480" w:firstLineChars="200"/>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根据</w:t>
            </w:r>
            <w:r>
              <w:rPr>
                <w:rFonts w:eastAsia="宋体"/>
                <w:color w:val="000000" w:themeColor="text1"/>
                <w:kern w:val="2"/>
                <w:sz w:val="24"/>
                <w:szCs w:val="24"/>
                <w:lang w:val="zh-CN"/>
                <w14:textFill>
                  <w14:solidFill>
                    <w14:schemeClr w14:val="tx1"/>
                  </w14:solidFill>
                </w14:textFill>
              </w:rPr>
              <w:t>《建设项目环境影响报告表编制技术指南（污染影响类）（试行）》，</w:t>
            </w:r>
            <w:r>
              <w:rPr>
                <w:rFonts w:eastAsia="宋体"/>
                <w:color w:val="000000" w:themeColor="text1"/>
                <w:sz w:val="24"/>
                <w:szCs w:val="24"/>
                <w14:textFill>
                  <w14:solidFill>
                    <w14:schemeClr w14:val="tx1"/>
                  </w14:solidFill>
                </w14:textFill>
              </w:rPr>
              <w:t>厂界外周边50米范围不存在声环境保护目标的建设项目，</w:t>
            </w:r>
            <w:r>
              <w:rPr>
                <w:rFonts w:eastAsia="宋体"/>
                <w:color w:val="000000" w:themeColor="text1"/>
                <w:sz w:val="24"/>
                <w:szCs w:val="24"/>
                <w:lang w:val="zh-CN"/>
                <w14:textFill>
                  <w14:solidFill>
                    <w14:schemeClr w14:val="tx1"/>
                  </w14:solidFill>
                </w14:textFill>
              </w:rPr>
              <w:t>故无需监测。</w:t>
            </w:r>
          </w:p>
        </w:tc>
      </w:tr>
      <w:tr w14:paraId="6938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411" w:type="dxa"/>
            <w:vAlign w:val="center"/>
          </w:tcPr>
          <w:p w14:paraId="1E78BC47">
            <w:pPr>
              <w:adjustRightInd w:val="0"/>
              <w:snapToGrid w:val="0"/>
              <w:jc w:val="center"/>
              <w:rPr>
                <w:rFonts w:eastAsia="宋体"/>
                <w:b/>
                <w:color w:val="000000" w:themeColor="text1"/>
                <w:kern w:val="0"/>
                <w:sz w:val="24"/>
                <w14:textFill>
                  <w14:solidFill>
                    <w14:schemeClr w14:val="tx1"/>
                  </w14:solidFill>
                </w14:textFill>
              </w:rPr>
            </w:pPr>
            <w:r>
              <w:rPr>
                <w:rFonts w:eastAsia="宋体"/>
                <w:b/>
                <w:color w:val="000000" w:themeColor="text1"/>
                <w:kern w:val="0"/>
                <w:sz w:val="24"/>
                <w14:textFill>
                  <w14:solidFill>
                    <w14:schemeClr w14:val="tx1"/>
                  </w14:solidFill>
                </w14:textFill>
              </w:rPr>
              <w:t>环境保护目标</w:t>
            </w:r>
          </w:p>
        </w:tc>
        <w:tc>
          <w:tcPr>
            <w:tcW w:w="7833" w:type="dxa"/>
            <w:vAlign w:val="center"/>
          </w:tcPr>
          <w:p w14:paraId="2C0846D5">
            <w:pPr>
              <w:pStyle w:val="78"/>
              <w:adjustRightInd w:val="0"/>
              <w:snapToGrid w:val="0"/>
              <w:spacing w:line="500" w:lineRule="exact"/>
              <w:ind w:firstLine="482"/>
              <w:rPr>
                <w:rFonts w:eastAsia="宋体"/>
                <w:b/>
                <w:bCs/>
                <w:color w:val="000000" w:themeColor="text1"/>
                <w14:textFill>
                  <w14:solidFill>
                    <w14:schemeClr w14:val="tx1"/>
                  </w14:solidFill>
                </w14:textFill>
              </w:rPr>
            </w:pPr>
            <w:bookmarkStart w:id="33" w:name="_Hlk72490597"/>
            <w:r>
              <w:rPr>
                <w:rFonts w:eastAsia="宋体"/>
                <w:b/>
                <w:bCs/>
                <w:color w:val="000000" w:themeColor="text1"/>
                <w14:textFill>
                  <w14:solidFill>
                    <w14:schemeClr w14:val="tx1"/>
                  </w14:solidFill>
                </w14:textFill>
              </w:rPr>
              <w:t>1、大气环境保护目标</w:t>
            </w:r>
          </w:p>
          <w:p w14:paraId="0F7529DC">
            <w:pPr>
              <w:pStyle w:val="147"/>
              <w:ind w:firstLine="480"/>
              <w:rPr>
                <w:color w:val="000000" w:themeColor="text1"/>
                <w14:textFill>
                  <w14:solidFill>
                    <w14:schemeClr w14:val="tx1"/>
                  </w14:solidFill>
                </w14:textFill>
              </w:rPr>
            </w:pPr>
            <w:r>
              <w:rPr>
                <w:color w:val="000000" w:themeColor="text1"/>
                <w14:textFill>
                  <w14:solidFill>
                    <w14:schemeClr w14:val="tx1"/>
                  </w14:solidFill>
                </w14:textFill>
              </w:rPr>
              <w:t>本项目将厂界外500米范围内的居住区，作为大气环境保护目标。根据现场勘查，本项目主要环境保护目标与项目的方位和距离见</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REF _Ref13589 \h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表3- 6</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p>
          <w:p w14:paraId="2B89EE8E">
            <w:pPr>
              <w:pStyle w:val="180"/>
              <w:rPr>
                <w:rFonts w:cs="Times New Roman"/>
                <w:color w:val="000000" w:themeColor="text1"/>
                <w14:textFill>
                  <w14:solidFill>
                    <w14:schemeClr w14:val="tx1"/>
                  </w14:solidFill>
                </w14:textFill>
              </w:rPr>
            </w:pPr>
            <w:bookmarkStart w:id="34" w:name="_Ref13589"/>
            <w:r>
              <w:rPr>
                <w:rFonts w:cs="Times New Roman"/>
                <w:color w:val="000000" w:themeColor="text1"/>
                <w14:textFill>
                  <w14:solidFill>
                    <w14:schemeClr w14:val="tx1"/>
                  </w14:solidFill>
                </w14:textFill>
              </w:rPr>
              <w:t xml:space="preserve">表3- </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表3- \* ARABIC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6</w:t>
            </w:r>
            <w:r>
              <w:rPr>
                <w:rFonts w:cs="Times New Roman"/>
                <w:color w:val="000000" w:themeColor="text1"/>
                <w14:textFill>
                  <w14:solidFill>
                    <w14:schemeClr w14:val="tx1"/>
                  </w14:solidFill>
                </w14:textFill>
              </w:rPr>
              <w:fldChar w:fldCharType="end"/>
            </w:r>
            <w:bookmarkEnd w:id="34"/>
            <w:r>
              <w:rPr>
                <w:rFonts w:cs="Times New Roman"/>
                <w:color w:val="000000" w:themeColor="text1"/>
                <w14:textFill>
                  <w14:solidFill>
                    <w14:schemeClr w14:val="tx1"/>
                  </w14:solidFill>
                </w14:textFill>
              </w:rPr>
              <w:t xml:space="preserve">  环境空气保护目标一览表</w:t>
            </w:r>
          </w:p>
          <w:tbl>
            <w:tblPr>
              <w:tblStyle w:val="33"/>
              <w:tblW w:w="498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587"/>
              <w:gridCol w:w="1424"/>
              <w:gridCol w:w="1319"/>
              <w:gridCol w:w="511"/>
              <w:gridCol w:w="481"/>
              <w:gridCol w:w="1838"/>
              <w:gridCol w:w="555"/>
              <w:gridCol w:w="695"/>
            </w:tblGrid>
            <w:tr w14:paraId="154675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253" w:type="pct"/>
                  <w:vMerge w:val="restart"/>
                  <w:vAlign w:val="center"/>
                </w:tcPr>
                <w:p w14:paraId="73C7BBB8">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环境要素</w:t>
                  </w:r>
                </w:p>
              </w:tc>
              <w:tc>
                <w:tcPr>
                  <w:tcW w:w="428" w:type="pct"/>
                  <w:vMerge w:val="restart"/>
                  <w:vAlign w:val="center"/>
                </w:tcPr>
                <w:p w14:paraId="1016D6EF">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保护对象</w:t>
                  </w:r>
                </w:p>
              </w:tc>
              <w:tc>
                <w:tcPr>
                  <w:tcW w:w="1631" w:type="pct"/>
                  <w:gridSpan w:val="2"/>
                  <w:vAlign w:val="center"/>
                </w:tcPr>
                <w:p w14:paraId="77B4F330">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坐标</w:t>
                  </w:r>
                </w:p>
              </w:tc>
              <w:tc>
                <w:tcPr>
                  <w:tcW w:w="379" w:type="pct"/>
                  <w:vMerge w:val="restart"/>
                  <w:vAlign w:val="center"/>
                </w:tcPr>
                <w:p w14:paraId="354F95A1">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保护对象</w:t>
                  </w:r>
                </w:p>
              </w:tc>
              <w:tc>
                <w:tcPr>
                  <w:tcW w:w="360" w:type="pct"/>
                  <w:vMerge w:val="restart"/>
                  <w:vAlign w:val="center"/>
                </w:tcPr>
                <w:p w14:paraId="307F166A">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保护内容</w:t>
                  </w:r>
                </w:p>
              </w:tc>
              <w:tc>
                <w:tcPr>
                  <w:tcW w:w="1093" w:type="pct"/>
                  <w:vMerge w:val="restart"/>
                  <w:vAlign w:val="center"/>
                </w:tcPr>
                <w:p w14:paraId="2E5C93D8">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环境功能区</w:t>
                  </w:r>
                </w:p>
              </w:tc>
              <w:tc>
                <w:tcPr>
                  <w:tcW w:w="407" w:type="pct"/>
                  <w:vMerge w:val="restart"/>
                  <w:vAlign w:val="center"/>
                </w:tcPr>
                <w:p w14:paraId="3988EAAB">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相对厂址方位</w:t>
                  </w:r>
                </w:p>
              </w:tc>
              <w:tc>
                <w:tcPr>
                  <w:tcW w:w="450" w:type="pct"/>
                  <w:vMerge w:val="restart"/>
                  <w:vAlign w:val="center"/>
                </w:tcPr>
                <w:p w14:paraId="18E28356">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相对厂界距离</w:t>
                  </w:r>
                </w:p>
              </w:tc>
            </w:tr>
            <w:tr w14:paraId="60F77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 w:type="pct"/>
                  <w:vMerge w:val="continue"/>
                  <w:vAlign w:val="center"/>
                </w:tcPr>
                <w:p w14:paraId="7FF353DA">
                  <w:pPr>
                    <w:jc w:val="center"/>
                    <w:rPr>
                      <w:rFonts w:eastAsia="宋体"/>
                      <w:color w:val="000000" w:themeColor="text1"/>
                      <w:szCs w:val="18"/>
                      <w14:textFill>
                        <w14:solidFill>
                          <w14:schemeClr w14:val="tx1"/>
                        </w14:solidFill>
                      </w14:textFill>
                    </w:rPr>
                  </w:pPr>
                </w:p>
              </w:tc>
              <w:tc>
                <w:tcPr>
                  <w:tcW w:w="428" w:type="pct"/>
                  <w:vMerge w:val="continue"/>
                  <w:vAlign w:val="center"/>
                </w:tcPr>
                <w:p w14:paraId="62DBA5C4">
                  <w:pPr>
                    <w:jc w:val="center"/>
                    <w:rPr>
                      <w:rFonts w:eastAsia="宋体"/>
                      <w:color w:val="000000" w:themeColor="text1"/>
                      <w:szCs w:val="18"/>
                      <w14:textFill>
                        <w14:solidFill>
                          <w14:schemeClr w14:val="tx1"/>
                        </w14:solidFill>
                      </w14:textFill>
                    </w:rPr>
                  </w:pPr>
                </w:p>
              </w:tc>
              <w:tc>
                <w:tcPr>
                  <w:tcW w:w="847" w:type="pct"/>
                  <w:vAlign w:val="center"/>
                </w:tcPr>
                <w:p w14:paraId="7BF92750">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东经</w:t>
                  </w:r>
                </w:p>
              </w:tc>
              <w:tc>
                <w:tcPr>
                  <w:tcW w:w="784" w:type="pct"/>
                  <w:vAlign w:val="center"/>
                </w:tcPr>
                <w:p w14:paraId="02BD78F7">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北纬</w:t>
                  </w:r>
                </w:p>
              </w:tc>
              <w:tc>
                <w:tcPr>
                  <w:tcW w:w="379" w:type="pct"/>
                  <w:vMerge w:val="continue"/>
                  <w:vAlign w:val="center"/>
                </w:tcPr>
                <w:p w14:paraId="06282713">
                  <w:pPr>
                    <w:jc w:val="center"/>
                    <w:rPr>
                      <w:rFonts w:eastAsia="宋体"/>
                      <w:color w:val="000000" w:themeColor="text1"/>
                      <w:szCs w:val="18"/>
                      <w14:textFill>
                        <w14:solidFill>
                          <w14:schemeClr w14:val="tx1"/>
                        </w14:solidFill>
                      </w14:textFill>
                    </w:rPr>
                  </w:pPr>
                </w:p>
              </w:tc>
              <w:tc>
                <w:tcPr>
                  <w:tcW w:w="360" w:type="pct"/>
                  <w:vMerge w:val="continue"/>
                  <w:vAlign w:val="center"/>
                </w:tcPr>
                <w:p w14:paraId="6CA1D939">
                  <w:pPr>
                    <w:jc w:val="center"/>
                    <w:rPr>
                      <w:rFonts w:eastAsia="宋体"/>
                      <w:color w:val="000000" w:themeColor="text1"/>
                      <w:szCs w:val="18"/>
                      <w14:textFill>
                        <w14:solidFill>
                          <w14:schemeClr w14:val="tx1"/>
                        </w14:solidFill>
                      </w14:textFill>
                    </w:rPr>
                  </w:pPr>
                </w:p>
              </w:tc>
              <w:tc>
                <w:tcPr>
                  <w:tcW w:w="1093" w:type="pct"/>
                  <w:vMerge w:val="continue"/>
                  <w:vAlign w:val="center"/>
                </w:tcPr>
                <w:p w14:paraId="133473DF">
                  <w:pPr>
                    <w:jc w:val="center"/>
                    <w:rPr>
                      <w:rFonts w:eastAsia="宋体"/>
                      <w:color w:val="000000" w:themeColor="text1"/>
                      <w:szCs w:val="18"/>
                      <w14:textFill>
                        <w14:solidFill>
                          <w14:schemeClr w14:val="tx1"/>
                        </w14:solidFill>
                      </w14:textFill>
                    </w:rPr>
                  </w:pPr>
                </w:p>
              </w:tc>
              <w:tc>
                <w:tcPr>
                  <w:tcW w:w="407" w:type="pct"/>
                  <w:vMerge w:val="continue"/>
                  <w:vAlign w:val="center"/>
                </w:tcPr>
                <w:p w14:paraId="0471229C">
                  <w:pPr>
                    <w:jc w:val="center"/>
                    <w:rPr>
                      <w:rFonts w:eastAsia="宋体"/>
                      <w:color w:val="000000" w:themeColor="text1"/>
                      <w:szCs w:val="18"/>
                      <w14:textFill>
                        <w14:solidFill>
                          <w14:schemeClr w14:val="tx1"/>
                        </w14:solidFill>
                      </w14:textFill>
                    </w:rPr>
                  </w:pPr>
                </w:p>
              </w:tc>
              <w:tc>
                <w:tcPr>
                  <w:tcW w:w="450" w:type="pct"/>
                  <w:vMerge w:val="continue"/>
                  <w:vAlign w:val="center"/>
                </w:tcPr>
                <w:p w14:paraId="20AB0B46">
                  <w:pPr>
                    <w:jc w:val="center"/>
                    <w:rPr>
                      <w:rFonts w:eastAsia="宋体"/>
                      <w:color w:val="000000" w:themeColor="text1"/>
                      <w:szCs w:val="18"/>
                      <w14:textFill>
                        <w14:solidFill>
                          <w14:schemeClr w14:val="tx1"/>
                        </w14:solidFill>
                      </w14:textFill>
                    </w:rPr>
                  </w:pPr>
                </w:p>
              </w:tc>
            </w:tr>
            <w:tr w14:paraId="3FF2A0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53" w:type="pct"/>
                  <w:vAlign w:val="center"/>
                </w:tcPr>
                <w:p w14:paraId="4199DE29">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大气环境</w:t>
                  </w:r>
                </w:p>
              </w:tc>
              <w:tc>
                <w:tcPr>
                  <w:tcW w:w="428" w:type="pct"/>
                  <w:vAlign w:val="center"/>
                </w:tcPr>
                <w:p w14:paraId="0A65EE40">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沙岗镇五四村</w:t>
                  </w:r>
                </w:p>
              </w:tc>
              <w:tc>
                <w:tcPr>
                  <w:tcW w:w="847" w:type="pct"/>
                  <w:vAlign w:val="center"/>
                </w:tcPr>
                <w:p w14:paraId="334CAC0E">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131.17777642</w:t>
                  </w:r>
                </w:p>
              </w:tc>
              <w:tc>
                <w:tcPr>
                  <w:tcW w:w="784" w:type="pct"/>
                  <w:vAlign w:val="center"/>
                </w:tcPr>
                <w:p w14:paraId="0E9F236E">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46.72357752</w:t>
                  </w:r>
                </w:p>
              </w:tc>
              <w:tc>
                <w:tcPr>
                  <w:tcW w:w="379" w:type="pct"/>
                  <w:vAlign w:val="center"/>
                </w:tcPr>
                <w:p w14:paraId="1FBFCF05">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居民区</w:t>
                  </w:r>
                </w:p>
              </w:tc>
              <w:tc>
                <w:tcPr>
                  <w:tcW w:w="360" w:type="pct"/>
                  <w:vAlign w:val="center"/>
                </w:tcPr>
                <w:p w14:paraId="361B0841">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环境空气</w:t>
                  </w:r>
                </w:p>
              </w:tc>
              <w:tc>
                <w:tcPr>
                  <w:tcW w:w="1093" w:type="pct"/>
                  <w:vAlign w:val="center"/>
                </w:tcPr>
                <w:p w14:paraId="33358812">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《环境空气质量标准》（GB3095-2012）中2类功能区</w:t>
                  </w:r>
                </w:p>
              </w:tc>
              <w:tc>
                <w:tcPr>
                  <w:tcW w:w="407" w:type="pct"/>
                  <w:vAlign w:val="center"/>
                </w:tcPr>
                <w:p w14:paraId="3A5429CD">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N</w:t>
                  </w:r>
                </w:p>
              </w:tc>
              <w:tc>
                <w:tcPr>
                  <w:tcW w:w="450" w:type="pct"/>
                  <w:vAlign w:val="center"/>
                </w:tcPr>
                <w:p w14:paraId="299A7862">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280m</w:t>
                  </w:r>
                </w:p>
              </w:tc>
            </w:tr>
            <w:tr w14:paraId="7CBA65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53" w:type="pct"/>
                  <w:vAlign w:val="center"/>
                </w:tcPr>
                <w:p w14:paraId="27911FD6">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大气环境</w:t>
                  </w:r>
                </w:p>
              </w:tc>
              <w:tc>
                <w:tcPr>
                  <w:tcW w:w="428" w:type="pct"/>
                  <w:vAlign w:val="center"/>
                </w:tcPr>
                <w:p w14:paraId="3DB3146D">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西侧居民</w:t>
                  </w:r>
                </w:p>
              </w:tc>
              <w:tc>
                <w:tcPr>
                  <w:tcW w:w="847" w:type="pct"/>
                  <w:vAlign w:val="center"/>
                </w:tcPr>
                <w:p w14:paraId="25D1F6BC">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131.17576894</w:t>
                  </w:r>
                </w:p>
              </w:tc>
              <w:tc>
                <w:tcPr>
                  <w:tcW w:w="784" w:type="pct"/>
                  <w:vAlign w:val="center"/>
                </w:tcPr>
                <w:p w14:paraId="4C09097F">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46.72064535</w:t>
                  </w:r>
                </w:p>
              </w:tc>
              <w:tc>
                <w:tcPr>
                  <w:tcW w:w="379" w:type="pct"/>
                  <w:vAlign w:val="center"/>
                </w:tcPr>
                <w:p w14:paraId="41E67C51">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居民区</w:t>
                  </w:r>
                </w:p>
              </w:tc>
              <w:tc>
                <w:tcPr>
                  <w:tcW w:w="360" w:type="pct"/>
                  <w:vAlign w:val="center"/>
                </w:tcPr>
                <w:p w14:paraId="409EC92E">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环境空气</w:t>
                  </w:r>
                </w:p>
              </w:tc>
              <w:tc>
                <w:tcPr>
                  <w:tcW w:w="1093" w:type="pct"/>
                  <w:vAlign w:val="center"/>
                </w:tcPr>
                <w:p w14:paraId="42044232">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《环境空气质量标准》（GB3095-2012）中2类功能区</w:t>
                  </w:r>
                </w:p>
              </w:tc>
              <w:tc>
                <w:tcPr>
                  <w:tcW w:w="407" w:type="pct"/>
                  <w:vAlign w:val="center"/>
                </w:tcPr>
                <w:p w14:paraId="5549CC27">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S</w:t>
                  </w:r>
                </w:p>
              </w:tc>
              <w:tc>
                <w:tcPr>
                  <w:tcW w:w="450" w:type="pct"/>
                  <w:vAlign w:val="center"/>
                </w:tcPr>
                <w:p w14:paraId="461CA2C2">
                  <w:pPr>
                    <w:jc w:val="center"/>
                    <w:rPr>
                      <w:rFonts w:eastAsia="宋体"/>
                      <w:color w:val="000000" w:themeColor="text1"/>
                      <w:szCs w:val="18"/>
                      <w14:textFill>
                        <w14:solidFill>
                          <w14:schemeClr w14:val="tx1"/>
                        </w14:solidFill>
                      </w14:textFill>
                    </w:rPr>
                  </w:pPr>
                  <w:r>
                    <w:rPr>
                      <w:rFonts w:eastAsia="宋体"/>
                      <w:color w:val="000000" w:themeColor="text1"/>
                      <w:szCs w:val="18"/>
                      <w14:textFill>
                        <w14:solidFill>
                          <w14:schemeClr w14:val="tx1"/>
                        </w14:solidFill>
                      </w14:textFill>
                    </w:rPr>
                    <w:t>140m</w:t>
                  </w:r>
                </w:p>
              </w:tc>
            </w:tr>
          </w:tbl>
          <w:p w14:paraId="41D841F0">
            <w:pPr>
              <w:pStyle w:val="78"/>
              <w:adjustRightInd w:val="0"/>
              <w:snapToGrid w:val="0"/>
              <w:spacing w:line="500" w:lineRule="exact"/>
              <w:ind w:firstLine="482"/>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2、地下水环境保护目标</w:t>
            </w:r>
          </w:p>
          <w:p w14:paraId="143088EA">
            <w:pPr>
              <w:pStyle w:val="78"/>
              <w:adjustRightInd w:val="0"/>
              <w:snapToGrid w:val="0"/>
              <w:spacing w:line="500" w:lineRule="exact"/>
              <w:rPr>
                <w:rFonts w:eastAsia="宋体"/>
                <w:snapToGrid w:val="0"/>
                <w:color w:val="000000" w:themeColor="text1"/>
                <w:kern w:val="0"/>
                <w14:textFill>
                  <w14:solidFill>
                    <w14:schemeClr w14:val="tx1"/>
                  </w14:solidFill>
                </w14:textFill>
              </w:rPr>
            </w:pPr>
            <w:r>
              <w:rPr>
                <w:rFonts w:eastAsia="宋体"/>
                <w:snapToGrid w:val="0"/>
                <w:color w:val="000000" w:themeColor="text1"/>
                <w:kern w:val="0"/>
                <w14:textFill>
                  <w14:solidFill>
                    <w14:schemeClr w14:val="tx1"/>
                  </w14:solidFill>
                </w14:textFill>
              </w:rPr>
              <w:t>本项目厂界外500m范围内无地下水集中式饮用水水源和热水、矿泉水、温泉等特殊地下水资源。</w:t>
            </w:r>
          </w:p>
          <w:p w14:paraId="658E1821">
            <w:pPr>
              <w:pStyle w:val="78"/>
              <w:adjustRightInd w:val="0"/>
              <w:snapToGrid w:val="0"/>
              <w:spacing w:line="500" w:lineRule="exact"/>
              <w:ind w:firstLine="482"/>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3、生态环境保护目标</w:t>
            </w:r>
          </w:p>
          <w:p w14:paraId="1B1DBA91">
            <w:pPr>
              <w:pStyle w:val="78"/>
              <w:adjustRightInd w:val="0"/>
              <w:snapToGrid w:val="0"/>
              <w:spacing w:line="500" w:lineRule="exact"/>
              <w:rPr>
                <w:rFonts w:eastAsia="宋体"/>
                <w:snapToGrid w:val="0"/>
                <w:color w:val="000000" w:themeColor="text1"/>
                <w:kern w:val="0"/>
                <w14:textFill>
                  <w14:solidFill>
                    <w14:schemeClr w14:val="tx1"/>
                  </w14:solidFill>
                </w14:textFill>
              </w:rPr>
            </w:pPr>
            <w:r>
              <w:rPr>
                <w:rFonts w:eastAsia="宋体"/>
                <w:snapToGrid w:val="0"/>
                <w:color w:val="000000" w:themeColor="text1"/>
                <w:kern w:val="0"/>
                <w14:textFill>
                  <w14:solidFill>
                    <w14:schemeClr w14:val="tx1"/>
                  </w14:solidFill>
                </w14:textFill>
              </w:rPr>
              <w:t>本项目占地范围内无特殊生态敏感区及重要生态敏感区等生态环境保护目标，项目所在地无国家级、省、市级自然保护区、风景名胜区、文物保护对象。</w:t>
            </w:r>
            <w:bookmarkEnd w:id="33"/>
          </w:p>
        </w:tc>
      </w:tr>
      <w:tr w14:paraId="12A3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411" w:type="dxa"/>
            <w:vAlign w:val="center"/>
          </w:tcPr>
          <w:p w14:paraId="6D541B25">
            <w:pPr>
              <w:adjustRightInd w:val="0"/>
              <w:snapToGrid w:val="0"/>
              <w:jc w:val="center"/>
              <w:rPr>
                <w:rFonts w:eastAsia="宋体"/>
                <w:b/>
                <w:color w:val="000000" w:themeColor="text1"/>
                <w:kern w:val="0"/>
                <w:sz w:val="24"/>
                <w14:textFill>
                  <w14:solidFill>
                    <w14:schemeClr w14:val="tx1"/>
                  </w14:solidFill>
                </w14:textFill>
              </w:rPr>
            </w:pPr>
            <w:r>
              <w:rPr>
                <w:rFonts w:eastAsia="宋体"/>
                <w:b/>
                <w:color w:val="000000" w:themeColor="text1"/>
                <w:kern w:val="0"/>
                <w:sz w:val="24"/>
                <w14:textFill>
                  <w14:solidFill>
                    <w14:schemeClr w14:val="tx1"/>
                  </w14:solidFill>
                </w14:textFill>
              </w:rPr>
              <w:t>污染物排放控制标准</w:t>
            </w:r>
          </w:p>
        </w:tc>
        <w:tc>
          <w:tcPr>
            <w:tcW w:w="7833" w:type="dxa"/>
            <w:vAlign w:val="center"/>
          </w:tcPr>
          <w:p w14:paraId="5150A91C">
            <w:pPr>
              <w:pStyle w:val="78"/>
              <w:adjustRightInd w:val="0"/>
              <w:snapToGrid w:val="0"/>
              <w:spacing w:line="500" w:lineRule="exact"/>
              <w:rPr>
                <w:rFonts w:eastAsia="宋体"/>
                <w:bCs/>
                <w:color w:val="000000" w:themeColor="text1"/>
                <w14:textFill>
                  <w14:solidFill>
                    <w14:schemeClr w14:val="tx1"/>
                  </w14:solidFill>
                </w14:textFill>
              </w:rPr>
            </w:pPr>
            <w:r>
              <w:rPr>
                <w:rFonts w:eastAsia="宋体"/>
                <w:bCs/>
                <w:color w:val="000000" w:themeColor="text1"/>
                <w14:textFill>
                  <w14:solidFill>
                    <w14:schemeClr w14:val="tx1"/>
                  </w14:solidFill>
                </w14:textFill>
              </w:rPr>
              <w:t>1、废气</w:t>
            </w:r>
            <w:bookmarkStart w:id="35" w:name="_Hlk84350541"/>
          </w:p>
          <w:p w14:paraId="3FAAF8E7">
            <w:pPr>
              <w:pStyle w:val="78"/>
              <w:adjustRightInd w:val="0"/>
              <w:snapToGrid w:val="0"/>
              <w:spacing w:line="500" w:lineRule="exact"/>
              <w:rPr>
                <w:rFonts w:eastAsia="宋体"/>
                <w:bCs/>
                <w:color w:val="000000" w:themeColor="text1"/>
                <w14:textFill>
                  <w14:solidFill>
                    <w14:schemeClr w14:val="tx1"/>
                  </w14:solidFill>
                </w14:textFill>
              </w:rPr>
            </w:pPr>
            <w:r>
              <w:rPr>
                <w:rFonts w:eastAsia="宋体"/>
                <w:bCs/>
                <w:color w:val="000000" w:themeColor="text1"/>
                <w14:textFill>
                  <w14:solidFill>
                    <w14:schemeClr w14:val="tx1"/>
                  </w14:solidFill>
                </w14:textFill>
              </w:rPr>
              <w:t>运营期间生产车间废气中颗粒物排放浓度和排放速率满足《大气污染物综合排放标准》（GB16297-1996）表2中排放限值，无组织颗粒物</w:t>
            </w:r>
            <w:r>
              <w:rPr>
                <w:rFonts w:eastAsia="宋体"/>
                <w:color w:val="000000" w:themeColor="text1"/>
                <w14:textFill>
                  <w14:solidFill>
                    <w14:schemeClr w14:val="tx1"/>
                  </w14:solidFill>
                </w14:textFill>
              </w:rPr>
              <w:t>排放监控浓度执行《大气污染物综合排放标准》（GB16297-1996）中的表2中无组织标准</w:t>
            </w:r>
            <w:r>
              <w:rPr>
                <w:rFonts w:eastAsia="宋体"/>
                <w:bCs/>
                <w:color w:val="000000" w:themeColor="text1"/>
                <w14:textFill>
                  <w14:solidFill>
                    <w14:schemeClr w14:val="tx1"/>
                  </w14:solidFill>
                </w14:textFill>
              </w:rPr>
              <w:t>。</w:t>
            </w:r>
          </w:p>
          <w:p w14:paraId="3DE32D05">
            <w:pPr>
              <w:pStyle w:val="78"/>
              <w:adjustRightInd w:val="0"/>
              <w:snapToGrid w:val="0"/>
              <w:spacing w:line="500" w:lineRule="exact"/>
              <w:rPr>
                <w:rFonts w:eastAsia="宋体"/>
                <w:bCs/>
                <w:color w:val="000000" w:themeColor="text1"/>
                <w14:textFill>
                  <w14:solidFill>
                    <w14:schemeClr w14:val="tx1"/>
                  </w14:solidFill>
                </w14:textFill>
              </w:rPr>
            </w:pPr>
            <w:r>
              <w:rPr>
                <w:rFonts w:eastAsia="宋体"/>
                <w:bCs/>
                <w:color w:val="000000" w:themeColor="text1"/>
                <w14:textFill>
                  <w14:solidFill>
                    <w14:schemeClr w14:val="tx1"/>
                  </w14:solidFill>
                </w14:textFill>
              </w:rPr>
              <w:t>根据《大气污染物综合排放标准》（GB16297-1996）中规定，排气简高度除须遵守表列排放速率标准值外，还应高出周围200m半范围的建筑5m以上，本项目厂界200米范围内最高建筑为10m，故本项目设置15m高排气筒合理。</w:t>
            </w:r>
          </w:p>
          <w:p w14:paraId="3F941DE9">
            <w:pPr>
              <w:topLinePunct/>
              <w:adjustRightInd w:val="0"/>
              <w:spacing w:line="500" w:lineRule="exact"/>
              <w:jc w:val="center"/>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表3-6 《大气污染物综合排放标准》（GB16297-1996）</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2158"/>
              <w:gridCol w:w="1079"/>
              <w:gridCol w:w="1081"/>
              <w:gridCol w:w="2153"/>
            </w:tblGrid>
            <w:tr w14:paraId="78554D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880" w:type="pct"/>
                  <w:vMerge w:val="restart"/>
                  <w:vAlign w:val="center"/>
                </w:tcPr>
                <w:p w14:paraId="7A2FDDF2">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污染物项目</w:t>
                  </w:r>
                </w:p>
              </w:tc>
              <w:tc>
                <w:tcPr>
                  <w:tcW w:w="1374" w:type="pct"/>
                  <w:vMerge w:val="restart"/>
                  <w:vAlign w:val="center"/>
                </w:tcPr>
                <w:p w14:paraId="2DDEEAE6">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最高允许排放浓度</w:t>
                  </w:r>
                </w:p>
                <w:p w14:paraId="0F7F1190">
                  <w:pPr>
                    <w:pStyle w:val="31"/>
                    <w:ind w:firstLine="240"/>
                    <w:jc w:val="center"/>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mg/m</w:t>
                  </w:r>
                  <w:r>
                    <w:rPr>
                      <w:rFonts w:eastAsia="宋体"/>
                      <w:color w:val="000000" w:themeColor="text1"/>
                      <w:sz w:val="24"/>
                      <w:szCs w:val="24"/>
                      <w:vertAlign w:val="superscript"/>
                      <w14:textFill>
                        <w14:solidFill>
                          <w14:schemeClr w14:val="tx1"/>
                        </w14:solidFill>
                      </w14:textFill>
                    </w:rPr>
                    <w:t>3</w:t>
                  </w:r>
                </w:p>
              </w:tc>
              <w:tc>
                <w:tcPr>
                  <w:tcW w:w="1375" w:type="pct"/>
                  <w:gridSpan w:val="2"/>
                  <w:vAlign w:val="center"/>
                </w:tcPr>
                <w:p w14:paraId="7C04E70E">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最高允许排放速率</w:t>
                  </w:r>
                </w:p>
              </w:tc>
              <w:tc>
                <w:tcPr>
                  <w:tcW w:w="1371" w:type="pct"/>
                  <w:vMerge w:val="restart"/>
                  <w:vAlign w:val="center"/>
                </w:tcPr>
                <w:p w14:paraId="3CA37390">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无组织排放浓度监控限值</w:t>
                  </w:r>
                </w:p>
              </w:tc>
            </w:tr>
            <w:tr w14:paraId="47A5F7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0" w:type="pct"/>
                  <w:vMerge w:val="continue"/>
                  <w:vAlign w:val="center"/>
                </w:tcPr>
                <w:p w14:paraId="00ECC670">
                  <w:pPr>
                    <w:widowControl/>
                    <w:adjustRightInd w:val="0"/>
                    <w:snapToGrid w:val="0"/>
                    <w:jc w:val="center"/>
                    <w:textAlignment w:val="baseline"/>
                    <w:rPr>
                      <w:rFonts w:eastAsia="宋体"/>
                      <w:bCs/>
                      <w:color w:val="000000" w:themeColor="text1"/>
                      <w:kern w:val="0"/>
                      <w:sz w:val="24"/>
                      <w14:textFill>
                        <w14:solidFill>
                          <w14:schemeClr w14:val="tx1"/>
                        </w14:solidFill>
                      </w14:textFill>
                    </w:rPr>
                  </w:pPr>
                </w:p>
              </w:tc>
              <w:tc>
                <w:tcPr>
                  <w:tcW w:w="1374" w:type="pct"/>
                  <w:vMerge w:val="continue"/>
                  <w:vAlign w:val="center"/>
                </w:tcPr>
                <w:p w14:paraId="2B367B41">
                  <w:pPr>
                    <w:widowControl/>
                    <w:adjustRightInd w:val="0"/>
                    <w:snapToGrid w:val="0"/>
                    <w:jc w:val="center"/>
                    <w:textAlignment w:val="baseline"/>
                    <w:rPr>
                      <w:rFonts w:eastAsia="宋体"/>
                      <w:bCs/>
                      <w:color w:val="000000" w:themeColor="text1"/>
                      <w:kern w:val="0"/>
                      <w:sz w:val="24"/>
                      <w14:textFill>
                        <w14:solidFill>
                          <w14:schemeClr w14:val="tx1"/>
                        </w14:solidFill>
                      </w14:textFill>
                    </w:rPr>
                  </w:pPr>
                </w:p>
              </w:tc>
              <w:tc>
                <w:tcPr>
                  <w:tcW w:w="687" w:type="pct"/>
                  <w:vAlign w:val="center"/>
                </w:tcPr>
                <w:p w14:paraId="71EFCF1E">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排气筒高度</w:t>
                  </w:r>
                </w:p>
              </w:tc>
              <w:tc>
                <w:tcPr>
                  <w:tcW w:w="687" w:type="pct"/>
                  <w:vAlign w:val="center"/>
                </w:tcPr>
                <w:p w14:paraId="37AD3B7A">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二级</w:t>
                  </w:r>
                </w:p>
              </w:tc>
              <w:tc>
                <w:tcPr>
                  <w:tcW w:w="1371" w:type="pct"/>
                  <w:vMerge w:val="continue"/>
                  <w:vAlign w:val="center"/>
                </w:tcPr>
                <w:p w14:paraId="343A0EBE">
                  <w:pPr>
                    <w:widowControl/>
                    <w:adjustRightInd w:val="0"/>
                    <w:snapToGrid w:val="0"/>
                    <w:jc w:val="center"/>
                    <w:textAlignment w:val="baseline"/>
                    <w:rPr>
                      <w:rFonts w:eastAsia="宋体"/>
                      <w:bCs/>
                      <w:color w:val="000000" w:themeColor="text1"/>
                      <w:kern w:val="0"/>
                      <w:sz w:val="24"/>
                      <w14:textFill>
                        <w14:solidFill>
                          <w14:schemeClr w14:val="tx1"/>
                        </w14:solidFill>
                      </w14:textFill>
                    </w:rPr>
                  </w:pPr>
                </w:p>
              </w:tc>
            </w:tr>
            <w:tr w14:paraId="666FA3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0" w:type="pct"/>
                  <w:vAlign w:val="center"/>
                </w:tcPr>
                <w:p w14:paraId="54A06C3E">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颗粒物</w:t>
                  </w:r>
                </w:p>
              </w:tc>
              <w:tc>
                <w:tcPr>
                  <w:tcW w:w="1374" w:type="pct"/>
                  <w:vAlign w:val="center"/>
                </w:tcPr>
                <w:p w14:paraId="49693490">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120</w:t>
                  </w:r>
                </w:p>
              </w:tc>
              <w:tc>
                <w:tcPr>
                  <w:tcW w:w="687" w:type="pct"/>
                  <w:vAlign w:val="center"/>
                </w:tcPr>
                <w:p w14:paraId="08FC03A6">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15m</w:t>
                  </w:r>
                </w:p>
              </w:tc>
              <w:tc>
                <w:tcPr>
                  <w:tcW w:w="687" w:type="pct"/>
                  <w:vAlign w:val="center"/>
                </w:tcPr>
                <w:p w14:paraId="0145E78F">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3.5kg/h</w:t>
                  </w:r>
                </w:p>
              </w:tc>
              <w:tc>
                <w:tcPr>
                  <w:tcW w:w="1371" w:type="pct"/>
                  <w:vAlign w:val="center"/>
                </w:tcPr>
                <w:p w14:paraId="2B5AFBD9">
                  <w:pPr>
                    <w:widowControl/>
                    <w:adjustRightInd w:val="0"/>
                    <w:snapToGrid w:val="0"/>
                    <w:jc w:val="center"/>
                    <w:textAlignment w:val="baseline"/>
                    <w:rPr>
                      <w:rFonts w:eastAsia="宋体"/>
                      <w:bCs/>
                      <w:color w:val="000000" w:themeColor="text1"/>
                      <w:kern w:val="0"/>
                      <w:sz w:val="24"/>
                      <w14:textFill>
                        <w14:solidFill>
                          <w14:schemeClr w14:val="tx1"/>
                        </w14:solidFill>
                      </w14:textFill>
                    </w:rPr>
                  </w:pPr>
                  <w:r>
                    <w:rPr>
                      <w:rFonts w:eastAsia="宋体"/>
                      <w:bCs/>
                      <w:color w:val="000000" w:themeColor="text1"/>
                      <w:kern w:val="0"/>
                      <w:sz w:val="24"/>
                      <w14:textFill>
                        <w14:solidFill>
                          <w14:schemeClr w14:val="tx1"/>
                        </w14:solidFill>
                      </w14:textFill>
                    </w:rPr>
                    <w:t>1.0mg/m</w:t>
                  </w:r>
                  <w:r>
                    <w:rPr>
                      <w:rFonts w:eastAsia="宋体"/>
                      <w:bCs/>
                      <w:color w:val="000000" w:themeColor="text1"/>
                      <w:kern w:val="0"/>
                      <w:sz w:val="24"/>
                      <w:vertAlign w:val="superscript"/>
                      <w14:textFill>
                        <w14:solidFill>
                          <w14:schemeClr w14:val="tx1"/>
                        </w14:solidFill>
                      </w14:textFill>
                    </w:rPr>
                    <w:t>3</w:t>
                  </w:r>
                </w:p>
              </w:tc>
            </w:tr>
            <w:bookmarkEnd w:id="35"/>
          </w:tbl>
          <w:p w14:paraId="1D20BCE3">
            <w:pPr>
              <w:pStyle w:val="78"/>
              <w:adjustRightInd w:val="0"/>
              <w:snapToGrid w:val="0"/>
              <w:spacing w:line="500" w:lineRule="exact"/>
              <w:rPr>
                <w:rFonts w:eastAsia="宋体"/>
                <w:snapToGrid w:val="0"/>
                <w:color w:val="000000" w:themeColor="text1"/>
                <w:kern w:val="0"/>
                <w14:textFill>
                  <w14:solidFill>
                    <w14:schemeClr w14:val="tx1"/>
                  </w14:solidFill>
                </w14:textFill>
              </w:rPr>
            </w:pPr>
            <w:r>
              <w:rPr>
                <w:rFonts w:eastAsia="宋体"/>
                <w:snapToGrid w:val="0"/>
                <w:color w:val="000000" w:themeColor="text1"/>
                <w:kern w:val="0"/>
                <w14:textFill>
                  <w14:solidFill>
                    <w14:schemeClr w14:val="tx1"/>
                  </w14:solidFill>
                </w14:textFill>
              </w:rPr>
              <w:t>2、噪声</w:t>
            </w:r>
          </w:p>
          <w:p w14:paraId="4E3CE00A">
            <w:pPr>
              <w:pStyle w:val="78"/>
              <w:adjustRightInd w:val="0"/>
              <w:snapToGrid w:val="0"/>
              <w:spacing w:line="500" w:lineRule="exact"/>
              <w:rPr>
                <w:rFonts w:eastAsia="宋体"/>
                <w:snapToGrid w:val="0"/>
                <w:color w:val="000000" w:themeColor="text1"/>
                <w:kern w:val="0"/>
                <w14:textFill>
                  <w14:solidFill>
                    <w14:schemeClr w14:val="tx1"/>
                  </w14:solidFill>
                </w14:textFill>
              </w:rPr>
            </w:pPr>
            <w:r>
              <w:rPr>
                <w:rFonts w:eastAsia="宋体"/>
                <w:color w:val="000000" w:themeColor="text1"/>
                <w14:textFill>
                  <w14:solidFill>
                    <w14:schemeClr w14:val="tx1"/>
                  </w14:solidFill>
                </w14:textFill>
              </w:rPr>
              <w:t>本项目</w:t>
            </w:r>
            <w:r>
              <w:rPr>
                <w:rFonts w:eastAsia="宋体"/>
                <w:bCs/>
                <w:color w:val="000000" w:themeColor="text1"/>
                <w14:textFill>
                  <w14:solidFill>
                    <w14:schemeClr w14:val="tx1"/>
                  </w14:solidFill>
                </w14:textFill>
              </w:rPr>
              <w:t>厂界噪声</w:t>
            </w:r>
            <w:r>
              <w:rPr>
                <w:rFonts w:eastAsia="宋体"/>
                <w:color w:val="000000" w:themeColor="text1"/>
                <w14:textFill>
                  <w14:solidFill>
                    <w14:schemeClr w14:val="tx1"/>
                  </w14:solidFill>
                </w14:textFill>
              </w:rPr>
              <w:t>执行</w:t>
            </w:r>
            <w:r>
              <w:rPr>
                <w:rFonts w:eastAsia="宋体"/>
                <w:bCs/>
                <w:color w:val="000000" w:themeColor="text1"/>
                <w14:textFill>
                  <w14:solidFill>
                    <w14:schemeClr w14:val="tx1"/>
                  </w14:solidFill>
                </w14:textFill>
              </w:rPr>
              <w:t>《工业企业厂界环境噪声排放标准》（GB12348-2008）表1中2类标准要求。</w:t>
            </w:r>
            <w:r>
              <w:rPr>
                <w:rFonts w:eastAsia="宋体"/>
                <w:snapToGrid w:val="0"/>
                <w:color w:val="000000" w:themeColor="text1"/>
                <w:kern w:val="0"/>
                <w14:textFill>
                  <w14:solidFill>
                    <w14:schemeClr w14:val="tx1"/>
                  </w14:solidFill>
                </w14:textFill>
              </w:rPr>
              <w:t>排放标准见下表。</w:t>
            </w:r>
          </w:p>
          <w:p w14:paraId="4D91640A">
            <w:pPr>
              <w:topLinePunct/>
              <w:adjustRightInd w:val="0"/>
              <w:spacing w:line="500" w:lineRule="exact"/>
              <w:jc w:val="center"/>
              <w:rPr>
                <w:rFonts w:eastAsia="宋体"/>
                <w:b/>
                <w:bCs/>
                <w:color w:val="000000" w:themeColor="text1"/>
                <w:sz w:val="24"/>
                <w14:textFill>
                  <w14:solidFill>
                    <w14:schemeClr w14:val="tx1"/>
                  </w14:solidFill>
                </w14:textFill>
              </w:rPr>
            </w:pPr>
            <w:bookmarkStart w:id="36" w:name="_Ref340733959"/>
            <w:bookmarkStart w:id="37" w:name="_Toc111800828"/>
            <w:r>
              <w:rPr>
                <w:rFonts w:eastAsia="宋体"/>
                <w:b/>
                <w:bCs/>
                <w:color w:val="000000" w:themeColor="text1"/>
                <w:sz w:val="24"/>
                <w14:textFill>
                  <w14:solidFill>
                    <w14:schemeClr w14:val="tx1"/>
                  </w14:solidFill>
                </w14:textFill>
              </w:rPr>
              <w:t>表</w:t>
            </w:r>
            <w:bookmarkEnd w:id="36"/>
            <w:r>
              <w:rPr>
                <w:rFonts w:eastAsia="宋体"/>
                <w:b/>
                <w:bCs/>
                <w:color w:val="000000" w:themeColor="text1"/>
                <w:sz w:val="24"/>
                <w14:textFill>
                  <w14:solidFill>
                    <w14:schemeClr w14:val="tx1"/>
                  </w14:solidFill>
                </w14:textFill>
              </w:rPr>
              <w:t>3-8《工业企业厂界环境噪声排放标准》（GB12348-2008）</w:t>
            </w:r>
            <w:bookmarkEnd w:id="37"/>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56" w:type="dxa"/>
                <w:bottom w:w="0" w:type="dxa"/>
                <w:right w:w="56" w:type="dxa"/>
              </w:tblCellMar>
            </w:tblPr>
            <w:tblGrid>
              <w:gridCol w:w="3869"/>
              <w:gridCol w:w="1969"/>
              <w:gridCol w:w="2012"/>
            </w:tblGrid>
            <w:tr w14:paraId="6133BA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6" w:type="dxa"/>
                  <w:bottom w:w="0" w:type="dxa"/>
                  <w:right w:w="56" w:type="dxa"/>
                </w:tblCellMar>
              </w:tblPrEx>
              <w:trPr>
                <w:cantSplit/>
                <w:trHeight w:val="305" w:hRule="atLeast"/>
                <w:jc w:val="center"/>
              </w:trPr>
              <w:tc>
                <w:tcPr>
                  <w:tcW w:w="2464" w:type="pct"/>
                  <w:tcBorders>
                    <w:tl2br w:val="nil"/>
                    <w:tr2bl w:val="nil"/>
                  </w:tcBorders>
                  <w:vAlign w:val="center"/>
                </w:tcPr>
                <w:p w14:paraId="28A5153F">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标准名称</w:t>
                  </w:r>
                </w:p>
              </w:tc>
              <w:tc>
                <w:tcPr>
                  <w:tcW w:w="1254" w:type="pct"/>
                  <w:tcBorders>
                    <w:tl2br w:val="nil"/>
                    <w:tr2bl w:val="nil"/>
                  </w:tcBorders>
                  <w:vAlign w:val="center"/>
                </w:tcPr>
                <w:p w14:paraId="0B45225D">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昼间</w:t>
                  </w:r>
                </w:p>
              </w:tc>
              <w:tc>
                <w:tcPr>
                  <w:tcW w:w="1281" w:type="pct"/>
                  <w:tcBorders>
                    <w:tl2br w:val="nil"/>
                    <w:tr2bl w:val="nil"/>
                  </w:tcBorders>
                  <w:vAlign w:val="center"/>
                </w:tcPr>
                <w:p w14:paraId="1093273C">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夜间</w:t>
                  </w:r>
                </w:p>
              </w:tc>
            </w:tr>
            <w:tr w14:paraId="4DAB69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6" w:type="dxa"/>
                  <w:bottom w:w="0" w:type="dxa"/>
                  <w:right w:w="56" w:type="dxa"/>
                </w:tblCellMar>
              </w:tblPrEx>
              <w:trPr>
                <w:cantSplit/>
                <w:trHeight w:val="596" w:hRule="atLeast"/>
                <w:jc w:val="center"/>
              </w:trPr>
              <w:tc>
                <w:tcPr>
                  <w:tcW w:w="2464" w:type="pct"/>
                  <w:tcBorders>
                    <w:tl2br w:val="nil"/>
                    <w:tr2bl w:val="nil"/>
                  </w:tcBorders>
                  <w:vAlign w:val="center"/>
                </w:tcPr>
                <w:p w14:paraId="2F7ABA9C">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《工业企业厂界环境噪声排放标准》</w:t>
                  </w:r>
                </w:p>
                <w:p w14:paraId="3EA85C9F">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（GB12348-2008）2类</w:t>
                  </w:r>
                </w:p>
              </w:tc>
              <w:tc>
                <w:tcPr>
                  <w:tcW w:w="1254" w:type="pct"/>
                  <w:tcBorders>
                    <w:tl2br w:val="nil"/>
                    <w:tr2bl w:val="nil"/>
                  </w:tcBorders>
                  <w:vAlign w:val="center"/>
                </w:tcPr>
                <w:p w14:paraId="62D43A09">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60dB（A）</w:t>
                  </w:r>
                </w:p>
              </w:tc>
              <w:tc>
                <w:tcPr>
                  <w:tcW w:w="1281" w:type="pct"/>
                  <w:tcBorders>
                    <w:tl2br w:val="nil"/>
                    <w:tr2bl w:val="nil"/>
                  </w:tcBorders>
                  <w:vAlign w:val="center"/>
                </w:tcPr>
                <w:p w14:paraId="448658C8">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50dB（A）</w:t>
                  </w:r>
                </w:p>
              </w:tc>
            </w:tr>
          </w:tbl>
          <w:p w14:paraId="43CCB1B9">
            <w:pPr>
              <w:pStyle w:val="78"/>
              <w:adjustRightInd w:val="0"/>
              <w:snapToGrid w:val="0"/>
              <w:spacing w:line="500" w:lineRule="exact"/>
              <w:rPr>
                <w:rFonts w:eastAsia="宋体"/>
                <w:snapToGrid w:val="0"/>
                <w:color w:val="000000" w:themeColor="text1"/>
                <w:kern w:val="0"/>
                <w14:textFill>
                  <w14:solidFill>
                    <w14:schemeClr w14:val="tx1"/>
                  </w14:solidFill>
                </w14:textFill>
              </w:rPr>
            </w:pPr>
            <w:r>
              <w:rPr>
                <w:rFonts w:eastAsia="宋体"/>
                <w:snapToGrid w:val="0"/>
                <w:color w:val="000000" w:themeColor="text1"/>
                <w:kern w:val="0"/>
                <w14:textFill>
                  <w14:solidFill>
                    <w14:schemeClr w14:val="tx1"/>
                  </w14:solidFill>
                </w14:textFill>
              </w:rPr>
              <w:t>3、固体废物</w:t>
            </w:r>
          </w:p>
          <w:p w14:paraId="2B735D46">
            <w:pPr>
              <w:adjustRightInd w:val="0"/>
              <w:snapToGrid w:val="0"/>
              <w:spacing w:line="500" w:lineRule="exact"/>
              <w:ind w:firstLine="480" w:firstLineChars="200"/>
              <w:rPr>
                <w:rFonts w:eastAsia="宋体"/>
                <w:snapToGrid w:val="0"/>
                <w:color w:val="000000" w:themeColor="text1"/>
                <w:kern w:val="0"/>
                <w:sz w:val="24"/>
                <w14:textFill>
                  <w14:solidFill>
                    <w14:schemeClr w14:val="tx1"/>
                  </w14:solidFill>
                </w14:textFill>
              </w:rPr>
            </w:pPr>
            <w:r>
              <w:rPr>
                <w:rFonts w:eastAsia="宋体"/>
                <w:snapToGrid w:val="0"/>
                <w:color w:val="000000" w:themeColor="text1"/>
                <w:kern w:val="0"/>
                <w:sz w:val="24"/>
                <w14:textFill>
                  <w14:solidFill>
                    <w14:schemeClr w14:val="tx1"/>
                  </w14:solidFill>
                </w14:textFill>
              </w:rPr>
              <w:t>（1）《一般工业固体废物贮存和填埋污染控制标准》（GB18599-2020）。</w:t>
            </w:r>
          </w:p>
          <w:p w14:paraId="3237E2FE">
            <w:pPr>
              <w:adjustRightInd w:val="0"/>
              <w:snapToGrid w:val="0"/>
              <w:spacing w:line="500" w:lineRule="exact"/>
              <w:ind w:firstLine="480" w:firstLineChars="200"/>
              <w:rPr>
                <w:rFonts w:eastAsia="宋体"/>
                <w:snapToGrid w:val="0"/>
                <w:color w:val="000000" w:themeColor="text1"/>
                <w:kern w:val="0"/>
                <w:sz w:val="24"/>
                <w14:textFill>
                  <w14:solidFill>
                    <w14:schemeClr w14:val="tx1"/>
                  </w14:solidFill>
                </w14:textFill>
              </w:rPr>
            </w:pPr>
          </w:p>
        </w:tc>
      </w:tr>
      <w:tr w14:paraId="0572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2" w:hRule="atLeast"/>
          <w:jc w:val="center"/>
        </w:trPr>
        <w:tc>
          <w:tcPr>
            <w:tcW w:w="411" w:type="dxa"/>
            <w:vAlign w:val="center"/>
          </w:tcPr>
          <w:p w14:paraId="501B0559">
            <w:pPr>
              <w:adjustRightInd w:val="0"/>
              <w:snapToGrid w:val="0"/>
              <w:jc w:val="center"/>
              <w:rPr>
                <w:rFonts w:eastAsia="宋体"/>
                <w:b/>
                <w:color w:val="000000" w:themeColor="text1"/>
                <w:kern w:val="0"/>
                <w:sz w:val="24"/>
                <w14:textFill>
                  <w14:solidFill>
                    <w14:schemeClr w14:val="tx1"/>
                  </w14:solidFill>
                </w14:textFill>
              </w:rPr>
            </w:pPr>
            <w:r>
              <w:rPr>
                <w:rFonts w:eastAsia="宋体"/>
                <w:b/>
                <w:color w:val="000000" w:themeColor="text1"/>
                <w:kern w:val="0"/>
                <w:sz w:val="24"/>
                <w14:textFill>
                  <w14:solidFill>
                    <w14:schemeClr w14:val="tx1"/>
                  </w14:solidFill>
                </w14:textFill>
              </w:rPr>
              <w:t>总量控制指标</w:t>
            </w:r>
          </w:p>
        </w:tc>
        <w:tc>
          <w:tcPr>
            <w:tcW w:w="7833" w:type="dxa"/>
            <w:vAlign w:val="center"/>
          </w:tcPr>
          <w:p w14:paraId="54B8C9BE">
            <w:pPr>
              <w:topLinePunct/>
              <w:adjustRightInd w:val="0"/>
              <w:spacing w:line="500" w:lineRule="exact"/>
              <w:jc w:val="center"/>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表3-9本项目总量控制指标表</w:t>
            </w:r>
          </w:p>
          <w:tbl>
            <w:tblPr>
              <w:tblStyle w:val="33"/>
              <w:tblW w:w="48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7"/>
              <w:gridCol w:w="2338"/>
              <w:gridCol w:w="2942"/>
            </w:tblGrid>
            <w:tr w14:paraId="33B1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34" w:type="pct"/>
                  <w:tcBorders>
                    <w:bottom w:val="single" w:color="auto" w:sz="4" w:space="0"/>
                    <w:right w:val="single" w:color="auto" w:sz="4" w:space="0"/>
                  </w:tcBorders>
                  <w:vAlign w:val="center"/>
                </w:tcPr>
                <w:p w14:paraId="07EA7604">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w:t>
                  </w:r>
                </w:p>
              </w:tc>
              <w:tc>
                <w:tcPr>
                  <w:tcW w:w="1534" w:type="pct"/>
                  <w:tcBorders>
                    <w:left w:val="nil"/>
                    <w:bottom w:val="single" w:color="auto" w:sz="4" w:space="0"/>
                    <w:right w:val="nil"/>
                  </w:tcBorders>
                  <w:vAlign w:val="center"/>
                </w:tcPr>
                <w:p w14:paraId="1C61B4B8">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污染物名称</w:t>
                  </w:r>
                </w:p>
              </w:tc>
              <w:tc>
                <w:tcPr>
                  <w:tcW w:w="1931" w:type="pct"/>
                  <w:tcBorders>
                    <w:left w:val="single" w:color="auto" w:sz="4" w:space="0"/>
                    <w:bottom w:val="single" w:color="auto" w:sz="4" w:space="0"/>
                    <w:right w:val="single" w:color="auto" w:sz="4" w:space="0"/>
                  </w:tcBorders>
                  <w:vAlign w:val="center"/>
                </w:tcPr>
                <w:p w14:paraId="41D38939">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预测排放量</w:t>
                  </w:r>
                </w:p>
              </w:tc>
            </w:tr>
            <w:tr w14:paraId="7B6A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534" w:type="pct"/>
                  <w:tcBorders>
                    <w:right w:val="single" w:color="auto" w:sz="4" w:space="0"/>
                  </w:tcBorders>
                  <w:vAlign w:val="center"/>
                </w:tcPr>
                <w:p w14:paraId="2D408FC2">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废气</w:t>
                  </w:r>
                </w:p>
              </w:tc>
              <w:tc>
                <w:tcPr>
                  <w:tcW w:w="1534" w:type="pct"/>
                  <w:tcBorders>
                    <w:top w:val="single" w:color="auto" w:sz="4" w:space="0"/>
                    <w:left w:val="nil"/>
                    <w:right w:val="nil"/>
                  </w:tcBorders>
                  <w:vAlign w:val="center"/>
                </w:tcPr>
                <w:p w14:paraId="5F629D4A">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颗粒物</w:t>
                  </w:r>
                </w:p>
              </w:tc>
              <w:tc>
                <w:tcPr>
                  <w:tcW w:w="1931" w:type="pct"/>
                  <w:tcBorders>
                    <w:top w:val="single" w:color="auto" w:sz="4" w:space="0"/>
                    <w:left w:val="single" w:color="auto" w:sz="4" w:space="0"/>
                    <w:right w:val="single" w:color="auto" w:sz="4" w:space="0"/>
                  </w:tcBorders>
                  <w:vAlign w:val="center"/>
                </w:tcPr>
                <w:p w14:paraId="64B63E76">
                  <w:pPr>
                    <w:pStyle w:val="73"/>
                    <w:adjustRightInd w:val="0"/>
                    <w:snapToGrid w:val="0"/>
                    <w:rPr>
                      <w:rFonts w:cs="Times New Roman"/>
                      <w:color w:val="000000" w:themeColor="text1"/>
                      <w:kern w:val="2"/>
                      <w:sz w:val="24"/>
                      <w:szCs w:val="24"/>
                      <w14:textFill>
                        <w14:solidFill>
                          <w14:schemeClr w14:val="tx1"/>
                        </w14:solidFill>
                      </w14:textFill>
                    </w:rPr>
                  </w:pPr>
                  <w:r>
                    <w:rPr>
                      <w:rFonts w:cs="Times New Roman"/>
                      <w:color w:val="000000" w:themeColor="text1"/>
                      <w:kern w:val="2"/>
                      <w:sz w:val="24"/>
                      <w:szCs w:val="24"/>
                      <w14:textFill>
                        <w14:solidFill>
                          <w14:schemeClr w14:val="tx1"/>
                        </w14:solidFill>
                      </w14:textFill>
                    </w:rPr>
                    <w:t>0.15t/a</w:t>
                  </w:r>
                </w:p>
              </w:tc>
            </w:tr>
          </w:tbl>
          <w:p w14:paraId="7B07DA22">
            <w:pPr>
              <w:pStyle w:val="67"/>
              <w:adjustRightInd w:val="0"/>
              <w:snapToGrid w:val="0"/>
              <w:spacing w:before="120" w:after="120" w:line="500" w:lineRule="exact"/>
              <w:ind w:firstLine="0" w:firstLineChars="0"/>
              <w:jc w:val="center"/>
              <w:rPr>
                <w:rFonts w:eastAsia="宋体"/>
                <w:color w:val="000000" w:themeColor="text1"/>
                <w14:textFill>
                  <w14:solidFill>
                    <w14:schemeClr w14:val="tx1"/>
                  </w14:solidFill>
                </w14:textFill>
              </w:rPr>
            </w:pPr>
          </w:p>
        </w:tc>
      </w:tr>
    </w:tbl>
    <w:p w14:paraId="7994627F">
      <w:pPr>
        <w:pStyle w:val="28"/>
        <w:adjustRightInd w:val="0"/>
        <w:snapToGrid w:val="0"/>
        <w:spacing w:before="0" w:beforeAutospacing="0" w:after="0" w:afterAutospacing="0" w:line="500" w:lineRule="exact"/>
        <w:rPr>
          <w:rFonts w:ascii="Times New Roman" w:hAnsi="Times New Roman" w:eastAsia="宋体"/>
          <w:b/>
          <w:bCs/>
          <w:snapToGrid w:val="0"/>
          <w:color w:val="000000" w:themeColor="text1"/>
          <w:szCs w:val="24"/>
          <w14:textFill>
            <w14:solidFill>
              <w14:schemeClr w14:val="tx1"/>
            </w14:solidFill>
          </w14:textFill>
        </w:rPr>
        <w:sectPr>
          <w:pgSz w:w="11907" w:h="16840"/>
          <w:pgMar w:top="1440" w:right="1800" w:bottom="1440" w:left="1800" w:header="851" w:footer="992" w:gutter="0"/>
          <w:cols w:space="720" w:num="1"/>
          <w:docGrid w:linePitch="312" w:charSpace="0"/>
        </w:sectPr>
      </w:pPr>
    </w:p>
    <w:p w14:paraId="6FB4A700">
      <w:pPr>
        <w:pStyle w:val="28"/>
        <w:adjustRightInd w:val="0"/>
        <w:snapToGrid w:val="0"/>
        <w:spacing w:before="0" w:beforeAutospacing="0" w:after="0" w:afterAutospacing="0" w:line="500" w:lineRule="exact"/>
        <w:jc w:val="center"/>
        <w:outlineLvl w:val="0"/>
        <w:rPr>
          <w:rFonts w:ascii="Times New Roman" w:hAnsi="Times New Roman" w:eastAsia="宋体"/>
          <w:b/>
          <w:bCs/>
          <w:snapToGrid w:val="0"/>
          <w:color w:val="000000" w:themeColor="text1"/>
          <w:szCs w:val="24"/>
          <w14:textFill>
            <w14:solidFill>
              <w14:schemeClr w14:val="tx1"/>
            </w14:solidFill>
          </w14:textFill>
        </w:rPr>
      </w:pPr>
      <w:bookmarkStart w:id="38" w:name="_Toc8218"/>
      <w:r>
        <w:rPr>
          <w:rFonts w:ascii="Times New Roman" w:hAnsi="Times New Roman" w:eastAsia="宋体"/>
          <w:b/>
          <w:bCs/>
          <w:snapToGrid w:val="0"/>
          <w:color w:val="000000" w:themeColor="text1"/>
          <w:szCs w:val="24"/>
          <w14:textFill>
            <w14:solidFill>
              <w14:schemeClr w14:val="tx1"/>
            </w14:solidFill>
          </w14:textFill>
        </w:rPr>
        <w:t>四、主要环境影响和保护措施</w:t>
      </w:r>
      <w:bookmarkEnd w:id="38"/>
    </w:p>
    <w:tbl>
      <w:tblPr>
        <w:tblStyle w:val="33"/>
        <w:tblW w:w="828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11"/>
        <w:gridCol w:w="7876"/>
      </w:tblGrid>
      <w:tr w14:paraId="74D26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73" w:hRule="atLeast"/>
          <w:jc w:val="center"/>
        </w:trPr>
        <w:tc>
          <w:tcPr>
            <w:tcW w:w="411" w:type="dxa"/>
            <w:tcMar>
              <w:left w:w="28" w:type="dxa"/>
              <w:right w:w="28" w:type="dxa"/>
            </w:tcMar>
            <w:vAlign w:val="center"/>
          </w:tcPr>
          <w:p w14:paraId="0968DB9A">
            <w:pPr>
              <w:pStyle w:val="28"/>
              <w:adjustRightInd w:val="0"/>
              <w:snapToGrid w:val="0"/>
              <w:spacing w:before="0" w:beforeAutospacing="0" w:after="0" w:afterAutospacing="0"/>
              <w:jc w:val="center"/>
              <w:rPr>
                <w:rFonts w:ascii="Times New Roman" w:hAnsi="Times New Roman" w:eastAsia="宋体"/>
                <w:b/>
                <w:color w:val="000000" w:themeColor="text1"/>
                <w:kern w:val="2"/>
                <w:szCs w:val="24"/>
                <w14:textFill>
                  <w14:solidFill>
                    <w14:schemeClr w14:val="tx1"/>
                  </w14:solidFill>
                </w14:textFill>
              </w:rPr>
            </w:pPr>
            <w:r>
              <w:rPr>
                <w:rFonts w:ascii="Times New Roman" w:hAnsi="Times New Roman" w:eastAsia="宋体"/>
                <w:b/>
                <w:color w:val="000000" w:themeColor="text1"/>
                <w:kern w:val="2"/>
                <w:szCs w:val="24"/>
                <w14:textFill>
                  <w14:solidFill>
                    <w14:schemeClr w14:val="tx1"/>
                  </w14:solidFill>
                </w14:textFill>
              </w:rPr>
              <w:t>施工期环境影响和保护措施</w:t>
            </w:r>
          </w:p>
        </w:tc>
        <w:tc>
          <w:tcPr>
            <w:tcW w:w="7876" w:type="dxa"/>
            <w:vAlign w:val="center"/>
          </w:tcPr>
          <w:p w14:paraId="5B0871A0">
            <w:pPr>
              <w:adjustRightInd w:val="0"/>
              <w:snapToGrid w:val="0"/>
              <w:spacing w:line="360" w:lineRule="auto"/>
              <w:ind w:firstLine="480" w:firstLineChars="200"/>
              <w:rPr>
                <w:rFonts w:eastAsia="宋体"/>
                <w:color w:val="000000" w:themeColor="text1"/>
                <w:kern w:val="0"/>
                <w:sz w:val="24"/>
                <w:szCs w:val="20"/>
                <w14:textFill>
                  <w14:solidFill>
                    <w14:schemeClr w14:val="tx1"/>
                  </w14:solidFill>
                </w14:textFill>
              </w:rPr>
            </w:pPr>
            <w:r>
              <w:rPr>
                <w:rFonts w:eastAsia="宋体"/>
                <w:color w:val="000000" w:themeColor="text1"/>
                <w:kern w:val="0"/>
                <w:sz w:val="24"/>
                <w:szCs w:val="20"/>
                <w14:textFill>
                  <w14:solidFill>
                    <w14:schemeClr w14:val="tx1"/>
                  </w14:solidFill>
                </w14:textFill>
              </w:rPr>
              <w:t>本项目</w:t>
            </w:r>
            <w:bookmarkStart w:id="39" w:name="_Hlk175229328"/>
            <w:r>
              <w:rPr>
                <w:rFonts w:eastAsia="宋体"/>
                <w:color w:val="000000" w:themeColor="text1"/>
                <w:kern w:val="0"/>
                <w:sz w:val="24"/>
                <w:szCs w:val="20"/>
                <w14:textFill>
                  <w14:solidFill>
                    <w14:schemeClr w14:val="tx1"/>
                  </w14:solidFill>
                </w14:textFill>
              </w:rPr>
              <w:t>施工期主要进行环保设备安装，主要建设布袋除尘器</w:t>
            </w:r>
            <w:bookmarkEnd w:id="39"/>
            <w:r>
              <w:rPr>
                <w:rFonts w:eastAsia="宋体"/>
                <w:color w:val="000000" w:themeColor="text1"/>
                <w:kern w:val="0"/>
                <w:sz w:val="24"/>
                <w:szCs w:val="20"/>
                <w14:textFill>
                  <w14:solidFill>
                    <w14:schemeClr w14:val="tx1"/>
                  </w14:solidFill>
                </w14:textFill>
              </w:rPr>
              <w:t>等环保设备，无大型土建工程，对外环境影响较小，且随施工期结束影响结束。因此，本环评不再对施工期的进行分析。</w:t>
            </w:r>
          </w:p>
          <w:p w14:paraId="27886E94">
            <w:pPr>
              <w:adjustRightInd w:val="0"/>
              <w:snapToGrid w:val="0"/>
              <w:spacing w:line="360" w:lineRule="auto"/>
              <w:ind w:firstLine="440" w:firstLineChars="200"/>
              <w:rPr>
                <w:rFonts w:eastAsia="宋体"/>
                <w:bCs/>
                <w:color w:val="000000" w:themeColor="text1"/>
                <w:spacing w:val="-10"/>
                <w:sz w:val="24"/>
                <w14:textFill>
                  <w14:solidFill>
                    <w14:schemeClr w14:val="tx1"/>
                  </w14:solidFill>
                </w14:textFill>
              </w:rPr>
            </w:pPr>
            <w:r>
              <w:rPr>
                <w:rFonts w:eastAsia="宋体"/>
                <w:bCs/>
                <w:color w:val="000000" w:themeColor="text1"/>
                <w:spacing w:val="-10"/>
                <w:sz w:val="24"/>
                <w14:textFill>
                  <w14:solidFill>
                    <w14:schemeClr w14:val="tx1"/>
                  </w14:solidFill>
                </w14:textFill>
              </w:rPr>
              <w:t>1、废气</w:t>
            </w:r>
          </w:p>
          <w:p w14:paraId="137F1411">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施工期对环境大气的影响主要是建筑材料和工程弃土的堆放、装卸、拌料过程以及车辆在运输过程中产生的扬尘。施工扬尘主要影响施工场地及附近区域的环境卫生和环境质量。经采取必要的防尘措施后可有效地减轻扬尘对环境的影响。</w:t>
            </w:r>
          </w:p>
          <w:p w14:paraId="725DFC43">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环评要求施工单位在施工时采取以下防治措施：</w:t>
            </w:r>
          </w:p>
          <w:p w14:paraId="008B3196">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①工程施工单位应按照</w:t>
            </w:r>
            <w:r>
              <w:rPr>
                <w:rFonts w:hint="eastAsia" w:eastAsia="宋体"/>
                <w:bCs/>
                <w:color w:val="000000" w:themeColor="text1"/>
                <w:sz w:val="24"/>
                <w14:textFill>
                  <w14:solidFill>
                    <w14:schemeClr w14:val="tx1"/>
                  </w14:solidFill>
                </w14:textFill>
              </w:rPr>
              <w:t>《中华人民共和国生态环境法典》（2026年8月15日施行）</w:t>
            </w:r>
            <w:r>
              <w:rPr>
                <w:rFonts w:eastAsia="宋体"/>
                <w:bCs/>
                <w:color w:val="000000" w:themeColor="text1"/>
                <w:sz w:val="24"/>
                <w14:textFill>
                  <w14:solidFill>
                    <w14:schemeClr w14:val="tx1"/>
                  </w14:solidFill>
                </w14:textFill>
              </w:rPr>
              <w:t>的相关规定制定具体的施工扬尘污染防治实施方案。</w:t>
            </w:r>
          </w:p>
          <w:p w14:paraId="0C5F4D8C">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②建筑施工单位在施工工地应当设置硬质密闭围挡，并采取抑尘降尘措施。建筑土方、工程渣土等建筑垃圾在场地内临时堆存的应当密闭遮盖。废弃土方要及时清运处理。</w:t>
            </w:r>
          </w:p>
          <w:p w14:paraId="5CD656E9">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③在施工期间对车辆行驶的路面实施洒水抑尘，对车辆实施清洁、冲洗轮胎。对施工车辆实行限速行驶，运输车辆需用帆布覆盖。</w:t>
            </w:r>
          </w:p>
          <w:p w14:paraId="1EFE561E">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④合理安排施工进度及施工时间，尽量缩短施工期，避免大风天开挖施工作业。</w:t>
            </w:r>
          </w:p>
          <w:p w14:paraId="61B2384D">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⑤施工单位尽量选用专业作业车辆，选优质设备和燃油，加强设备和运输车辆的检修和维护。</w:t>
            </w:r>
          </w:p>
          <w:p w14:paraId="30B2213D">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在严格采取上述有效防护措施，将有效减少扬尘和汽车尾气对周围环境的影响。</w:t>
            </w:r>
          </w:p>
          <w:p w14:paraId="74E55E03">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2、废水</w:t>
            </w:r>
          </w:p>
          <w:p w14:paraId="4C19C615">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施工过程中产生的废水主要为施工人员排放的生活污水和施工作业产生的废水，由于施工期施工人员只在白天工作，施工人员不在场地内食宿，因此产生的废水较少。</w:t>
            </w:r>
          </w:p>
          <w:p w14:paraId="73C15AD1">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废水中主要污染因子为COD、BOD</w:t>
            </w:r>
            <w:r>
              <w:rPr>
                <w:rFonts w:eastAsia="宋体"/>
                <w:bCs/>
                <w:color w:val="000000" w:themeColor="text1"/>
                <w:sz w:val="24"/>
                <w:vertAlign w:val="subscript"/>
                <w14:textFill>
                  <w14:solidFill>
                    <w14:schemeClr w14:val="tx1"/>
                  </w14:solidFill>
                </w14:textFill>
              </w:rPr>
              <w:t>5</w:t>
            </w:r>
            <w:r>
              <w:rPr>
                <w:rFonts w:eastAsia="宋体"/>
                <w:bCs/>
                <w:color w:val="000000" w:themeColor="text1"/>
                <w:sz w:val="24"/>
                <w14:textFill>
                  <w14:solidFill>
                    <w14:schemeClr w14:val="tx1"/>
                  </w14:solidFill>
                </w14:textFill>
              </w:rPr>
              <w:t>、氨氮等。生活污水排入防渗旱厕，施工作业产生的废水沉淀后用于场地内洒水抑尘。</w:t>
            </w:r>
          </w:p>
          <w:p w14:paraId="0C426DAF">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3、噪声</w:t>
            </w:r>
          </w:p>
          <w:p w14:paraId="674DACE3">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为最大限度地降低施工噪声对施工场界的影响，使施工阶段的噪声满足《建筑施工场界环境噪声排放标准》（GB12523-2011）的要求，不对周边环境造成干扰，施工方必须对施工噪声加强控制，建议采取如下措施：</w:t>
            </w:r>
          </w:p>
          <w:p w14:paraId="315F5ED7">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①合理安排作业时间：避免夜间施工，晚22：00至早6：00和中午12：00至13：30禁止机械作业；</w:t>
            </w:r>
          </w:p>
          <w:p w14:paraId="4D78BDBA">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②合理布局施工现场：高噪声施工机械尽量布置在远离周围环境敏感点的一方，同时应避免在同一地点安排大量动力机械设备，以避免局部声级过高。对高噪声源采用一定的围护结构对其进行隔声处理。</w:t>
            </w:r>
          </w:p>
          <w:p w14:paraId="5168DDEA">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③降低设备声级：设备选型上尽量采用低噪声设备，固定机械设备采取排气管消音器和隔离发动机振动部件的方法降低噪声。</w:t>
            </w:r>
          </w:p>
          <w:p w14:paraId="01B8652D">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在采取上述措施之后，施工期场界噪声能够达到《建筑施工噪声排放标准》(GB 12523-2025)的要求，噪声对周边环境影响很小。</w:t>
            </w:r>
          </w:p>
          <w:p w14:paraId="0809D94B">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4、固废</w:t>
            </w:r>
          </w:p>
          <w:p w14:paraId="611AA1BA">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施工期固体废物主要包括建筑垃圾和生活垃圾。</w:t>
            </w:r>
          </w:p>
          <w:p w14:paraId="5B279324">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对施工产生的废料首先应考虑废料的回收利用，如钢筋、钢板、木材等下角料可分类回收，由废物收购站处理:建筑垃圾，如混凝土废料、含砖、石、砂的杂土应集中堆放，定时清运，送建筑废渣专用堆放场，以免影响施工和环境卫生。</w:t>
            </w:r>
          </w:p>
          <w:p w14:paraId="49519AFD">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施工人员生活垃圾设置专门的储存设施，集中收集后交由市政部门处理。施工期固体废物处置率100%。</w:t>
            </w:r>
          </w:p>
          <w:p w14:paraId="5468304A">
            <w:pPr>
              <w:pStyle w:val="107"/>
              <w:adjustRightInd w:val="0"/>
              <w:snapToGrid w:val="0"/>
              <w:spacing w:line="500" w:lineRule="exact"/>
              <w:ind w:firstLine="480"/>
              <w:rPr>
                <w:rFonts w:cs="Times New Roman"/>
                <w:color w:val="000000" w:themeColor="text1"/>
                <w:sz w:val="24"/>
                <w14:textFill>
                  <w14:solidFill>
                    <w14:schemeClr w14:val="tx1"/>
                  </w14:solidFill>
                </w14:textFill>
              </w:rPr>
            </w:pPr>
            <w:r>
              <w:rPr>
                <w:rFonts w:cs="Times New Roman"/>
                <w:bCs/>
                <w:color w:val="000000" w:themeColor="text1"/>
                <w:sz w:val="24"/>
                <w14:textFill>
                  <w14:solidFill>
                    <w14:schemeClr w14:val="tx1"/>
                  </w14:solidFill>
                </w14:textFill>
              </w:rPr>
              <w:t>施工期的环境影响是短暂的，只要建设施工单位加强全员职工的环境保护意识，并通过以上措施，项目建设产生的废物得到妥善处置，施工期间对周围环境造成的短暂影响可以接受。</w:t>
            </w:r>
          </w:p>
        </w:tc>
      </w:tr>
    </w:tbl>
    <w:p w14:paraId="22A30328">
      <w:pPr>
        <w:adjustRightInd w:val="0"/>
        <w:snapToGrid w:val="0"/>
        <w:jc w:val="center"/>
        <w:rPr>
          <w:rFonts w:eastAsia="宋体"/>
          <w:b/>
          <w:color w:val="000000" w:themeColor="text1"/>
          <w:sz w:val="24"/>
          <w14:textFill>
            <w14:solidFill>
              <w14:schemeClr w14:val="tx1"/>
            </w14:solidFill>
          </w14:textFill>
        </w:rPr>
        <w:sectPr>
          <w:pgSz w:w="11907" w:h="16840"/>
          <w:pgMar w:top="1440" w:right="1800" w:bottom="1440" w:left="1800" w:header="851" w:footer="992" w:gutter="0"/>
          <w:cols w:space="720" w:num="1"/>
          <w:docGrid w:linePitch="312" w:charSpace="0"/>
        </w:sectPr>
      </w:pP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
        <w:gridCol w:w="8166"/>
      </w:tblGrid>
      <w:tr w14:paraId="716F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5" w:hRule="atLeast"/>
          <w:jc w:val="center"/>
        </w:trPr>
        <w:tc>
          <w:tcPr>
            <w:tcW w:w="426" w:type="dxa"/>
            <w:tcMar>
              <w:left w:w="28" w:type="dxa"/>
              <w:right w:w="28" w:type="dxa"/>
            </w:tcMar>
            <w:vAlign w:val="center"/>
          </w:tcPr>
          <w:p w14:paraId="0120CDC1">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运营期环境影响和保护措施</w:t>
            </w:r>
          </w:p>
        </w:tc>
        <w:tc>
          <w:tcPr>
            <w:tcW w:w="13661" w:type="dxa"/>
            <w:vAlign w:val="top"/>
          </w:tcPr>
          <w:p w14:paraId="42F353D9">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一、运营期大气环境影响和保护措施</w:t>
            </w:r>
          </w:p>
          <w:p w14:paraId="3D6C8CE3">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（一）项目废气排放情况见下表</w:t>
            </w:r>
          </w:p>
          <w:p w14:paraId="22AA2F59">
            <w:pPr>
              <w:pStyle w:val="88"/>
              <w:rPr>
                <w:rFonts w:ascii="Times New Roman" w:hAnsi="Times New Roman" w:eastAsia="宋体"/>
                <w:b/>
                <w:bCs/>
                <w:color w:val="000000" w:themeColor="text1"/>
                <w:szCs w:val="24"/>
                <w14:textFill>
                  <w14:solidFill>
                    <w14:schemeClr w14:val="tx1"/>
                  </w14:solidFill>
                </w14:textFill>
              </w:rPr>
            </w:pPr>
            <w:bookmarkStart w:id="40" w:name="_Hlk116127965"/>
            <w:r>
              <w:rPr>
                <w:rFonts w:ascii="Times New Roman" w:hAnsi="Times New Roman" w:eastAsia="宋体"/>
                <w:b/>
                <w:bCs/>
                <w:color w:val="000000" w:themeColor="text1"/>
                <w:szCs w:val="24"/>
                <w14:textFill>
                  <w14:solidFill>
                    <w14:schemeClr w14:val="tx1"/>
                  </w14:solidFill>
                </w14:textFill>
              </w:rPr>
              <w:t>表4-1 正常工况下废气污染物产生及排放情况</w:t>
            </w:r>
          </w:p>
          <w:tbl>
            <w:tblPr>
              <w:tblStyle w:val="33"/>
              <w:tblW w:w="8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627"/>
              <w:gridCol w:w="627"/>
              <w:gridCol w:w="627"/>
              <w:gridCol w:w="627"/>
              <w:gridCol w:w="627"/>
              <w:gridCol w:w="630"/>
              <w:gridCol w:w="627"/>
              <w:gridCol w:w="628"/>
              <w:gridCol w:w="627"/>
              <w:gridCol w:w="627"/>
              <w:gridCol w:w="629"/>
              <w:gridCol w:w="627"/>
            </w:tblGrid>
            <w:tr w14:paraId="4A1C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7" w:type="dxa"/>
                  <w:vMerge w:val="restart"/>
                  <w:shd w:val="clear" w:color="auto" w:fill="auto"/>
                  <w:vAlign w:val="center"/>
                </w:tcPr>
                <w:p w14:paraId="0B987029">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工序/生产线</w:t>
                  </w:r>
                </w:p>
              </w:tc>
              <w:tc>
                <w:tcPr>
                  <w:tcW w:w="627" w:type="dxa"/>
                  <w:vMerge w:val="restart"/>
                  <w:shd w:val="clear" w:color="auto" w:fill="auto"/>
                  <w:vAlign w:val="center"/>
                </w:tcPr>
                <w:p w14:paraId="4E5BE4DA">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装置</w:t>
                  </w:r>
                </w:p>
              </w:tc>
              <w:tc>
                <w:tcPr>
                  <w:tcW w:w="627" w:type="dxa"/>
                  <w:vMerge w:val="restart"/>
                  <w:shd w:val="clear" w:color="auto" w:fill="auto"/>
                  <w:vAlign w:val="center"/>
                </w:tcPr>
                <w:p w14:paraId="6F6FF92A">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污染源</w:t>
                  </w:r>
                </w:p>
              </w:tc>
              <w:tc>
                <w:tcPr>
                  <w:tcW w:w="627" w:type="dxa"/>
                  <w:vMerge w:val="restart"/>
                  <w:shd w:val="clear" w:color="auto" w:fill="auto"/>
                  <w:vAlign w:val="center"/>
                </w:tcPr>
                <w:p w14:paraId="23CD94B5">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污染物</w:t>
                  </w:r>
                </w:p>
              </w:tc>
              <w:tc>
                <w:tcPr>
                  <w:tcW w:w="1884" w:type="dxa"/>
                  <w:gridSpan w:val="3"/>
                  <w:shd w:val="clear" w:color="auto" w:fill="auto"/>
                  <w:vAlign w:val="center"/>
                </w:tcPr>
                <w:p w14:paraId="54875D50">
                  <w:pPr>
                    <w:jc w:val="cente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污染物产生</w:t>
                  </w:r>
                </w:p>
              </w:tc>
              <w:tc>
                <w:tcPr>
                  <w:tcW w:w="1255" w:type="dxa"/>
                  <w:gridSpan w:val="2"/>
                  <w:shd w:val="clear" w:color="auto" w:fill="auto"/>
                  <w:vAlign w:val="center"/>
                </w:tcPr>
                <w:p w14:paraId="4B061EAE">
                  <w:pPr>
                    <w:jc w:val="cente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治理措施</w:t>
                  </w:r>
                </w:p>
              </w:tc>
              <w:tc>
                <w:tcPr>
                  <w:tcW w:w="1883" w:type="dxa"/>
                  <w:gridSpan w:val="3"/>
                  <w:shd w:val="clear" w:color="auto" w:fill="auto"/>
                  <w:vAlign w:val="center"/>
                </w:tcPr>
                <w:p w14:paraId="258A19AC">
                  <w:pPr>
                    <w:jc w:val="cente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污染物排放</w:t>
                  </w:r>
                </w:p>
              </w:tc>
              <w:tc>
                <w:tcPr>
                  <w:tcW w:w="627" w:type="dxa"/>
                  <w:vMerge w:val="restart"/>
                  <w:shd w:val="clear" w:color="auto" w:fill="auto"/>
                  <w:vAlign w:val="center"/>
                </w:tcPr>
                <w:p w14:paraId="2EC5C483">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年排放时间（h）</w:t>
                  </w:r>
                </w:p>
              </w:tc>
            </w:tr>
            <w:tr w14:paraId="316E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627" w:type="dxa"/>
                  <w:vMerge w:val="continue"/>
                  <w:vAlign w:val="center"/>
                </w:tcPr>
                <w:p w14:paraId="55527939">
                  <w:pPr>
                    <w:rPr>
                      <w:rFonts w:eastAsia="宋体"/>
                      <w:color w:val="000000" w:themeColor="text1"/>
                      <w:sz w:val="18"/>
                      <w:szCs w:val="18"/>
                      <w14:textFill>
                        <w14:solidFill>
                          <w14:schemeClr w14:val="tx1"/>
                        </w14:solidFill>
                      </w14:textFill>
                    </w:rPr>
                  </w:pPr>
                </w:p>
              </w:tc>
              <w:tc>
                <w:tcPr>
                  <w:tcW w:w="627" w:type="dxa"/>
                  <w:vMerge w:val="continue"/>
                  <w:vAlign w:val="center"/>
                </w:tcPr>
                <w:p w14:paraId="027535F4">
                  <w:pPr>
                    <w:rPr>
                      <w:rFonts w:eastAsia="宋体"/>
                      <w:color w:val="000000" w:themeColor="text1"/>
                      <w:sz w:val="18"/>
                      <w:szCs w:val="18"/>
                      <w14:textFill>
                        <w14:solidFill>
                          <w14:schemeClr w14:val="tx1"/>
                        </w14:solidFill>
                      </w14:textFill>
                    </w:rPr>
                  </w:pPr>
                </w:p>
              </w:tc>
              <w:tc>
                <w:tcPr>
                  <w:tcW w:w="627" w:type="dxa"/>
                  <w:vMerge w:val="continue"/>
                  <w:vAlign w:val="center"/>
                </w:tcPr>
                <w:p w14:paraId="36956175">
                  <w:pPr>
                    <w:rPr>
                      <w:rFonts w:eastAsia="宋体"/>
                      <w:color w:val="000000" w:themeColor="text1"/>
                      <w:sz w:val="18"/>
                      <w:szCs w:val="18"/>
                      <w14:textFill>
                        <w14:solidFill>
                          <w14:schemeClr w14:val="tx1"/>
                        </w14:solidFill>
                      </w14:textFill>
                    </w:rPr>
                  </w:pPr>
                </w:p>
              </w:tc>
              <w:tc>
                <w:tcPr>
                  <w:tcW w:w="627" w:type="dxa"/>
                  <w:vMerge w:val="continue"/>
                  <w:vAlign w:val="center"/>
                </w:tcPr>
                <w:p w14:paraId="466B625A">
                  <w:pPr>
                    <w:rPr>
                      <w:rFonts w:eastAsia="宋体"/>
                      <w:color w:val="000000" w:themeColor="text1"/>
                      <w:sz w:val="18"/>
                      <w:szCs w:val="18"/>
                      <w14:textFill>
                        <w14:solidFill>
                          <w14:schemeClr w14:val="tx1"/>
                        </w14:solidFill>
                      </w14:textFill>
                    </w:rPr>
                  </w:pPr>
                </w:p>
              </w:tc>
              <w:tc>
                <w:tcPr>
                  <w:tcW w:w="627" w:type="dxa"/>
                  <w:shd w:val="clear" w:color="auto" w:fill="auto"/>
                  <w:vAlign w:val="center"/>
                </w:tcPr>
                <w:p w14:paraId="0E0207FF">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核算方法</w:t>
                  </w:r>
                </w:p>
              </w:tc>
              <w:tc>
                <w:tcPr>
                  <w:tcW w:w="627" w:type="dxa"/>
                  <w:shd w:val="clear" w:color="auto" w:fill="auto"/>
                  <w:vAlign w:val="center"/>
                </w:tcPr>
                <w:p w14:paraId="14AF92A1">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产生速率（kg/h）</w:t>
                  </w:r>
                </w:p>
              </w:tc>
              <w:tc>
                <w:tcPr>
                  <w:tcW w:w="630" w:type="dxa"/>
                  <w:shd w:val="clear" w:color="auto" w:fill="auto"/>
                  <w:vAlign w:val="center"/>
                </w:tcPr>
                <w:p w14:paraId="1B5BA850">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产生量（t/a）</w:t>
                  </w:r>
                </w:p>
              </w:tc>
              <w:tc>
                <w:tcPr>
                  <w:tcW w:w="627" w:type="dxa"/>
                  <w:shd w:val="clear" w:color="auto" w:fill="auto"/>
                  <w:vAlign w:val="center"/>
                </w:tcPr>
                <w:p w14:paraId="5E67094D">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工艺</w:t>
                  </w:r>
                </w:p>
              </w:tc>
              <w:tc>
                <w:tcPr>
                  <w:tcW w:w="628" w:type="dxa"/>
                  <w:shd w:val="clear" w:color="auto" w:fill="auto"/>
                  <w:vAlign w:val="center"/>
                </w:tcPr>
                <w:p w14:paraId="0FF0EE29">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效率（%）</w:t>
                  </w:r>
                </w:p>
              </w:tc>
              <w:tc>
                <w:tcPr>
                  <w:tcW w:w="627" w:type="dxa"/>
                  <w:shd w:val="clear" w:color="auto" w:fill="auto"/>
                  <w:vAlign w:val="center"/>
                </w:tcPr>
                <w:p w14:paraId="7AF4B992">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核算方法</w:t>
                  </w:r>
                </w:p>
              </w:tc>
              <w:tc>
                <w:tcPr>
                  <w:tcW w:w="627" w:type="dxa"/>
                  <w:shd w:val="clear" w:color="auto" w:fill="auto"/>
                  <w:vAlign w:val="center"/>
                </w:tcPr>
                <w:p w14:paraId="29C19F52">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排放速率（kg/h）</w:t>
                  </w:r>
                </w:p>
              </w:tc>
              <w:tc>
                <w:tcPr>
                  <w:tcW w:w="629" w:type="dxa"/>
                  <w:shd w:val="clear" w:color="auto" w:fill="auto"/>
                  <w:vAlign w:val="center"/>
                </w:tcPr>
                <w:p w14:paraId="563F507E">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排放量（t/a）</w:t>
                  </w:r>
                </w:p>
              </w:tc>
              <w:tc>
                <w:tcPr>
                  <w:tcW w:w="627" w:type="dxa"/>
                  <w:vMerge w:val="continue"/>
                  <w:vAlign w:val="center"/>
                </w:tcPr>
                <w:p w14:paraId="6712EC88">
                  <w:pPr>
                    <w:rPr>
                      <w:rFonts w:eastAsia="宋体"/>
                      <w:color w:val="000000" w:themeColor="text1"/>
                      <w:sz w:val="18"/>
                      <w:szCs w:val="18"/>
                      <w14:textFill>
                        <w14:solidFill>
                          <w14:schemeClr w14:val="tx1"/>
                        </w14:solidFill>
                      </w14:textFill>
                    </w:rPr>
                  </w:pPr>
                </w:p>
              </w:tc>
            </w:tr>
            <w:tr w14:paraId="7CA1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27" w:type="dxa"/>
                  <w:vMerge w:val="restart"/>
                  <w:vAlign w:val="center"/>
                </w:tcPr>
                <w:p w14:paraId="6CE600F1">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生产车间</w:t>
                  </w:r>
                </w:p>
              </w:tc>
              <w:tc>
                <w:tcPr>
                  <w:tcW w:w="627" w:type="dxa"/>
                  <w:vMerge w:val="restart"/>
                  <w:vAlign w:val="center"/>
                </w:tcPr>
                <w:p w14:paraId="1FD5E11F">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加工工段</w:t>
                  </w:r>
                </w:p>
              </w:tc>
              <w:tc>
                <w:tcPr>
                  <w:tcW w:w="627" w:type="dxa"/>
                  <w:vMerge w:val="restart"/>
                  <w:vAlign w:val="center"/>
                </w:tcPr>
                <w:p w14:paraId="556739EC">
                  <w:pPr>
                    <w:jc w:val="cente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排气筒DA001</w:t>
                  </w:r>
                </w:p>
              </w:tc>
              <w:tc>
                <w:tcPr>
                  <w:tcW w:w="627" w:type="dxa"/>
                  <w:vMerge w:val="restart"/>
                  <w:vAlign w:val="center"/>
                </w:tcPr>
                <w:p w14:paraId="79209BBA">
                  <w:pPr>
                    <w:jc w:val="cente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粉尘</w:t>
                  </w:r>
                </w:p>
              </w:tc>
              <w:tc>
                <w:tcPr>
                  <w:tcW w:w="627" w:type="dxa"/>
                  <w:vMerge w:val="restart"/>
                  <w:shd w:val="clear" w:color="auto" w:fill="auto"/>
                  <w:vAlign w:val="center"/>
                </w:tcPr>
                <w:p w14:paraId="705FD957">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系数法</w:t>
                  </w:r>
                </w:p>
              </w:tc>
              <w:tc>
                <w:tcPr>
                  <w:tcW w:w="627" w:type="dxa"/>
                  <w:vMerge w:val="restart"/>
                  <w:shd w:val="clear" w:color="auto" w:fill="auto"/>
                  <w:vAlign w:val="center"/>
                </w:tcPr>
                <w:p w14:paraId="49C1A237">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8.75</w:t>
                  </w:r>
                </w:p>
              </w:tc>
              <w:tc>
                <w:tcPr>
                  <w:tcW w:w="630" w:type="dxa"/>
                  <w:vMerge w:val="restart"/>
                  <w:shd w:val="clear" w:color="auto" w:fill="auto"/>
                  <w:vAlign w:val="center"/>
                </w:tcPr>
                <w:p w14:paraId="32BB0C94">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16.8</w:t>
                  </w:r>
                </w:p>
              </w:tc>
              <w:tc>
                <w:tcPr>
                  <w:tcW w:w="627" w:type="dxa"/>
                  <w:shd w:val="clear" w:color="auto" w:fill="auto"/>
                  <w:vAlign w:val="center"/>
                </w:tcPr>
                <w:p w14:paraId="29EB0D09">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集气罩</w:t>
                  </w:r>
                </w:p>
              </w:tc>
              <w:tc>
                <w:tcPr>
                  <w:tcW w:w="628" w:type="dxa"/>
                  <w:shd w:val="clear" w:color="auto" w:fill="auto"/>
                  <w:vAlign w:val="center"/>
                </w:tcPr>
                <w:p w14:paraId="19B65846">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90</w:t>
                  </w:r>
                </w:p>
              </w:tc>
              <w:tc>
                <w:tcPr>
                  <w:tcW w:w="627" w:type="dxa"/>
                  <w:vMerge w:val="restart"/>
                  <w:shd w:val="clear" w:color="auto" w:fill="auto"/>
                  <w:vAlign w:val="center"/>
                </w:tcPr>
                <w:p w14:paraId="620E89C1">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系数法</w:t>
                  </w:r>
                </w:p>
              </w:tc>
              <w:tc>
                <w:tcPr>
                  <w:tcW w:w="627" w:type="dxa"/>
                  <w:vMerge w:val="restart"/>
                  <w:shd w:val="clear" w:color="auto" w:fill="auto"/>
                  <w:vAlign w:val="center"/>
                </w:tcPr>
                <w:p w14:paraId="510C8EC1">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0.08</w:t>
                  </w:r>
                </w:p>
              </w:tc>
              <w:tc>
                <w:tcPr>
                  <w:tcW w:w="629" w:type="dxa"/>
                  <w:vMerge w:val="restart"/>
                  <w:shd w:val="clear" w:color="auto" w:fill="auto"/>
                  <w:vAlign w:val="center"/>
                </w:tcPr>
                <w:p w14:paraId="395D158C">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0.15</w:t>
                  </w:r>
                </w:p>
              </w:tc>
              <w:tc>
                <w:tcPr>
                  <w:tcW w:w="627" w:type="dxa"/>
                  <w:vMerge w:val="restart"/>
                  <w:vAlign w:val="center"/>
                </w:tcPr>
                <w:p w14:paraId="639DFFE8">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1920</w:t>
                  </w:r>
                </w:p>
              </w:tc>
            </w:tr>
            <w:tr w14:paraId="694C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627" w:type="dxa"/>
                  <w:vMerge w:val="continue"/>
                  <w:shd w:val="clear" w:color="auto" w:fill="auto"/>
                  <w:vAlign w:val="center"/>
                </w:tcPr>
                <w:p w14:paraId="2FF0F2A2">
                  <w:pPr>
                    <w:rPr>
                      <w:rFonts w:eastAsia="宋体"/>
                      <w:color w:val="000000" w:themeColor="text1"/>
                      <w:sz w:val="18"/>
                      <w:szCs w:val="18"/>
                      <w14:textFill>
                        <w14:solidFill>
                          <w14:schemeClr w14:val="tx1"/>
                        </w14:solidFill>
                      </w14:textFill>
                    </w:rPr>
                  </w:pPr>
                </w:p>
              </w:tc>
              <w:tc>
                <w:tcPr>
                  <w:tcW w:w="627" w:type="dxa"/>
                  <w:vMerge w:val="continue"/>
                  <w:shd w:val="clear" w:color="auto" w:fill="auto"/>
                  <w:vAlign w:val="center"/>
                </w:tcPr>
                <w:p w14:paraId="3E4ABEBC">
                  <w:pPr>
                    <w:rPr>
                      <w:rFonts w:eastAsia="宋体"/>
                      <w:color w:val="000000" w:themeColor="text1"/>
                      <w:sz w:val="18"/>
                      <w:szCs w:val="18"/>
                      <w14:textFill>
                        <w14:solidFill>
                          <w14:schemeClr w14:val="tx1"/>
                        </w14:solidFill>
                      </w14:textFill>
                    </w:rPr>
                  </w:pPr>
                </w:p>
              </w:tc>
              <w:tc>
                <w:tcPr>
                  <w:tcW w:w="627" w:type="dxa"/>
                  <w:vMerge w:val="continue"/>
                  <w:shd w:val="clear" w:color="auto" w:fill="auto"/>
                  <w:vAlign w:val="center"/>
                </w:tcPr>
                <w:p w14:paraId="3B9B6D25">
                  <w:pPr>
                    <w:rPr>
                      <w:rFonts w:eastAsia="宋体"/>
                      <w:color w:val="000000" w:themeColor="text1"/>
                      <w:sz w:val="18"/>
                      <w:szCs w:val="18"/>
                      <w14:textFill>
                        <w14:solidFill>
                          <w14:schemeClr w14:val="tx1"/>
                        </w14:solidFill>
                      </w14:textFill>
                    </w:rPr>
                  </w:pPr>
                </w:p>
              </w:tc>
              <w:tc>
                <w:tcPr>
                  <w:tcW w:w="627" w:type="dxa"/>
                  <w:vMerge w:val="continue"/>
                  <w:shd w:val="clear" w:color="auto" w:fill="auto"/>
                  <w:vAlign w:val="center"/>
                </w:tcPr>
                <w:p w14:paraId="43D29E8A">
                  <w:pPr>
                    <w:rPr>
                      <w:rFonts w:eastAsia="宋体"/>
                      <w:color w:val="000000" w:themeColor="text1"/>
                      <w:sz w:val="18"/>
                      <w:szCs w:val="18"/>
                      <w14:textFill>
                        <w14:solidFill>
                          <w14:schemeClr w14:val="tx1"/>
                        </w14:solidFill>
                      </w14:textFill>
                    </w:rPr>
                  </w:pPr>
                </w:p>
              </w:tc>
              <w:tc>
                <w:tcPr>
                  <w:tcW w:w="627" w:type="dxa"/>
                  <w:vMerge w:val="continue"/>
                  <w:shd w:val="clear" w:color="auto" w:fill="auto"/>
                  <w:vAlign w:val="center"/>
                </w:tcPr>
                <w:p w14:paraId="7F6AAE2B">
                  <w:pPr>
                    <w:rPr>
                      <w:rFonts w:eastAsia="宋体"/>
                      <w:color w:val="000000" w:themeColor="text1"/>
                      <w:sz w:val="18"/>
                      <w:szCs w:val="18"/>
                      <w14:textFill>
                        <w14:solidFill>
                          <w14:schemeClr w14:val="tx1"/>
                        </w14:solidFill>
                      </w14:textFill>
                    </w:rPr>
                  </w:pPr>
                </w:p>
              </w:tc>
              <w:tc>
                <w:tcPr>
                  <w:tcW w:w="627" w:type="dxa"/>
                  <w:vMerge w:val="continue"/>
                  <w:shd w:val="clear" w:color="auto" w:fill="auto"/>
                  <w:vAlign w:val="center"/>
                </w:tcPr>
                <w:p w14:paraId="451766EC">
                  <w:pPr>
                    <w:rPr>
                      <w:rFonts w:eastAsia="宋体"/>
                      <w:color w:val="000000" w:themeColor="text1"/>
                      <w:sz w:val="18"/>
                      <w:szCs w:val="18"/>
                      <w14:textFill>
                        <w14:solidFill>
                          <w14:schemeClr w14:val="tx1"/>
                        </w14:solidFill>
                      </w14:textFill>
                    </w:rPr>
                  </w:pPr>
                </w:p>
              </w:tc>
              <w:tc>
                <w:tcPr>
                  <w:tcW w:w="630" w:type="dxa"/>
                  <w:vMerge w:val="continue"/>
                  <w:shd w:val="clear" w:color="auto" w:fill="auto"/>
                  <w:vAlign w:val="center"/>
                </w:tcPr>
                <w:p w14:paraId="5F864121">
                  <w:pPr>
                    <w:rPr>
                      <w:rFonts w:eastAsia="宋体"/>
                      <w:color w:val="000000" w:themeColor="text1"/>
                      <w:sz w:val="18"/>
                      <w:szCs w:val="18"/>
                      <w14:textFill>
                        <w14:solidFill>
                          <w14:schemeClr w14:val="tx1"/>
                        </w14:solidFill>
                      </w14:textFill>
                    </w:rPr>
                  </w:pPr>
                </w:p>
              </w:tc>
              <w:tc>
                <w:tcPr>
                  <w:tcW w:w="627" w:type="dxa"/>
                  <w:shd w:val="clear" w:color="auto" w:fill="auto"/>
                  <w:vAlign w:val="center"/>
                </w:tcPr>
                <w:p w14:paraId="61589BE2">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布袋除尘器</w:t>
                  </w:r>
                </w:p>
              </w:tc>
              <w:tc>
                <w:tcPr>
                  <w:tcW w:w="628" w:type="dxa"/>
                  <w:shd w:val="clear" w:color="auto" w:fill="auto"/>
                  <w:vAlign w:val="center"/>
                </w:tcPr>
                <w:p w14:paraId="0F91F592">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99</w:t>
                  </w:r>
                </w:p>
              </w:tc>
              <w:tc>
                <w:tcPr>
                  <w:tcW w:w="627" w:type="dxa"/>
                  <w:vMerge w:val="continue"/>
                  <w:shd w:val="clear" w:color="auto" w:fill="auto"/>
                  <w:vAlign w:val="center"/>
                </w:tcPr>
                <w:p w14:paraId="6A4C1709">
                  <w:pPr>
                    <w:rPr>
                      <w:rFonts w:eastAsia="宋体"/>
                      <w:color w:val="000000" w:themeColor="text1"/>
                      <w:sz w:val="18"/>
                      <w:szCs w:val="18"/>
                      <w14:textFill>
                        <w14:solidFill>
                          <w14:schemeClr w14:val="tx1"/>
                        </w14:solidFill>
                      </w14:textFill>
                    </w:rPr>
                  </w:pPr>
                </w:p>
              </w:tc>
              <w:tc>
                <w:tcPr>
                  <w:tcW w:w="627" w:type="dxa"/>
                  <w:vMerge w:val="continue"/>
                  <w:shd w:val="clear" w:color="auto" w:fill="auto"/>
                  <w:vAlign w:val="center"/>
                </w:tcPr>
                <w:p w14:paraId="0C5B1DD1">
                  <w:pPr>
                    <w:rPr>
                      <w:rFonts w:eastAsia="宋体"/>
                      <w:color w:val="000000" w:themeColor="text1"/>
                      <w:sz w:val="18"/>
                      <w:szCs w:val="18"/>
                      <w14:textFill>
                        <w14:solidFill>
                          <w14:schemeClr w14:val="tx1"/>
                        </w14:solidFill>
                      </w14:textFill>
                    </w:rPr>
                  </w:pPr>
                </w:p>
              </w:tc>
              <w:tc>
                <w:tcPr>
                  <w:tcW w:w="629" w:type="dxa"/>
                  <w:vMerge w:val="continue"/>
                  <w:shd w:val="clear" w:color="auto" w:fill="auto"/>
                  <w:vAlign w:val="center"/>
                </w:tcPr>
                <w:p w14:paraId="72FA7C82">
                  <w:pPr>
                    <w:rPr>
                      <w:rFonts w:eastAsia="宋体"/>
                      <w:color w:val="000000" w:themeColor="text1"/>
                      <w:sz w:val="18"/>
                      <w:szCs w:val="18"/>
                      <w14:textFill>
                        <w14:solidFill>
                          <w14:schemeClr w14:val="tx1"/>
                        </w14:solidFill>
                      </w14:textFill>
                    </w:rPr>
                  </w:pPr>
                </w:p>
              </w:tc>
              <w:tc>
                <w:tcPr>
                  <w:tcW w:w="627" w:type="dxa"/>
                  <w:vMerge w:val="continue"/>
                  <w:shd w:val="clear" w:color="auto" w:fill="auto"/>
                  <w:vAlign w:val="center"/>
                </w:tcPr>
                <w:p w14:paraId="11D692FC">
                  <w:pPr>
                    <w:rPr>
                      <w:rFonts w:eastAsia="宋体"/>
                      <w:color w:val="000000" w:themeColor="text1"/>
                      <w:sz w:val="18"/>
                      <w:szCs w:val="18"/>
                      <w14:textFill>
                        <w14:solidFill>
                          <w14:schemeClr w14:val="tx1"/>
                        </w14:solidFill>
                      </w14:textFill>
                    </w:rPr>
                  </w:pPr>
                </w:p>
              </w:tc>
            </w:tr>
            <w:tr w14:paraId="7DF9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627" w:type="dxa"/>
                  <w:vMerge w:val="continue"/>
                  <w:vAlign w:val="center"/>
                </w:tcPr>
                <w:p w14:paraId="7D2383BE">
                  <w:pPr>
                    <w:rPr>
                      <w:rFonts w:eastAsia="宋体"/>
                      <w:color w:val="000000" w:themeColor="text1"/>
                      <w:sz w:val="18"/>
                      <w:szCs w:val="18"/>
                      <w14:textFill>
                        <w14:solidFill>
                          <w14:schemeClr w14:val="tx1"/>
                        </w14:solidFill>
                      </w14:textFill>
                    </w:rPr>
                  </w:pPr>
                </w:p>
              </w:tc>
              <w:tc>
                <w:tcPr>
                  <w:tcW w:w="627" w:type="dxa"/>
                  <w:vMerge w:val="continue"/>
                  <w:vAlign w:val="center"/>
                </w:tcPr>
                <w:p w14:paraId="3CB86AED">
                  <w:pPr>
                    <w:rPr>
                      <w:rFonts w:eastAsia="宋体"/>
                      <w:color w:val="000000" w:themeColor="text1"/>
                      <w:sz w:val="18"/>
                      <w:szCs w:val="18"/>
                      <w14:textFill>
                        <w14:solidFill>
                          <w14:schemeClr w14:val="tx1"/>
                        </w14:solidFill>
                      </w14:textFill>
                    </w:rPr>
                  </w:pPr>
                </w:p>
              </w:tc>
              <w:tc>
                <w:tcPr>
                  <w:tcW w:w="627" w:type="dxa"/>
                  <w:vAlign w:val="center"/>
                </w:tcPr>
                <w:p w14:paraId="0BA32B68">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无组织</w:t>
                  </w:r>
                </w:p>
              </w:tc>
              <w:tc>
                <w:tcPr>
                  <w:tcW w:w="627" w:type="dxa"/>
                  <w:shd w:val="clear" w:color="auto" w:fill="auto"/>
                  <w:vAlign w:val="center"/>
                </w:tcPr>
                <w:p w14:paraId="030362D5">
                  <w:pPr>
                    <w:jc w:val="cente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粉尘</w:t>
                  </w:r>
                </w:p>
              </w:tc>
              <w:tc>
                <w:tcPr>
                  <w:tcW w:w="627" w:type="dxa"/>
                  <w:vMerge w:val="continue"/>
                  <w:vAlign w:val="center"/>
                </w:tcPr>
                <w:p w14:paraId="63A3A78D">
                  <w:pPr>
                    <w:rPr>
                      <w:rFonts w:eastAsia="宋体"/>
                      <w:color w:val="000000" w:themeColor="text1"/>
                      <w:sz w:val="18"/>
                      <w:szCs w:val="18"/>
                      <w14:textFill>
                        <w14:solidFill>
                          <w14:schemeClr w14:val="tx1"/>
                        </w14:solidFill>
                      </w14:textFill>
                    </w:rPr>
                  </w:pPr>
                </w:p>
              </w:tc>
              <w:tc>
                <w:tcPr>
                  <w:tcW w:w="627" w:type="dxa"/>
                  <w:shd w:val="clear" w:color="auto" w:fill="auto"/>
                  <w:vAlign w:val="center"/>
                </w:tcPr>
                <w:p w14:paraId="34C0EBC1">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0.88</w:t>
                  </w:r>
                </w:p>
              </w:tc>
              <w:tc>
                <w:tcPr>
                  <w:tcW w:w="630" w:type="dxa"/>
                  <w:shd w:val="clear" w:color="auto" w:fill="auto"/>
                  <w:vAlign w:val="center"/>
                </w:tcPr>
                <w:p w14:paraId="37F89E4A">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1.68</w:t>
                  </w:r>
                </w:p>
              </w:tc>
              <w:tc>
                <w:tcPr>
                  <w:tcW w:w="627" w:type="dxa"/>
                  <w:vAlign w:val="center"/>
                </w:tcPr>
                <w:p w14:paraId="4CDFCEA0">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厂房密闭</w:t>
                  </w:r>
                </w:p>
              </w:tc>
              <w:tc>
                <w:tcPr>
                  <w:tcW w:w="628" w:type="dxa"/>
                  <w:shd w:val="clear" w:color="auto" w:fill="auto"/>
                  <w:vAlign w:val="center"/>
                </w:tcPr>
                <w:p w14:paraId="35E94D0C">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90</w:t>
                  </w:r>
                </w:p>
              </w:tc>
              <w:tc>
                <w:tcPr>
                  <w:tcW w:w="627" w:type="dxa"/>
                  <w:vMerge w:val="continue"/>
                  <w:vAlign w:val="center"/>
                </w:tcPr>
                <w:p w14:paraId="4E7D029A">
                  <w:pPr>
                    <w:rPr>
                      <w:rFonts w:eastAsia="宋体"/>
                      <w:color w:val="000000" w:themeColor="text1"/>
                      <w:sz w:val="18"/>
                      <w:szCs w:val="18"/>
                      <w14:textFill>
                        <w14:solidFill>
                          <w14:schemeClr w14:val="tx1"/>
                        </w14:solidFill>
                      </w14:textFill>
                    </w:rPr>
                  </w:pPr>
                </w:p>
              </w:tc>
              <w:tc>
                <w:tcPr>
                  <w:tcW w:w="627" w:type="dxa"/>
                  <w:shd w:val="clear" w:color="auto" w:fill="auto"/>
                  <w:vAlign w:val="center"/>
                </w:tcPr>
                <w:p w14:paraId="53BBC061">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0.088</w:t>
                  </w:r>
                </w:p>
              </w:tc>
              <w:tc>
                <w:tcPr>
                  <w:tcW w:w="629" w:type="dxa"/>
                  <w:shd w:val="clear" w:color="auto" w:fill="auto"/>
                  <w:vAlign w:val="center"/>
                </w:tcPr>
                <w:p w14:paraId="6C01E058">
                  <w:pPr>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0.168</w:t>
                  </w:r>
                </w:p>
              </w:tc>
              <w:tc>
                <w:tcPr>
                  <w:tcW w:w="627" w:type="dxa"/>
                  <w:vMerge w:val="continue"/>
                  <w:vAlign w:val="center"/>
                </w:tcPr>
                <w:p w14:paraId="7DC6AC6D">
                  <w:pPr>
                    <w:rPr>
                      <w:rFonts w:eastAsia="宋体"/>
                      <w:color w:val="000000" w:themeColor="text1"/>
                      <w:sz w:val="18"/>
                      <w:szCs w:val="18"/>
                      <w14:textFill>
                        <w14:solidFill>
                          <w14:schemeClr w14:val="tx1"/>
                        </w14:solidFill>
                      </w14:textFill>
                    </w:rPr>
                  </w:pPr>
                </w:p>
              </w:tc>
            </w:tr>
            <w:bookmarkEnd w:id="40"/>
          </w:tbl>
          <w:p w14:paraId="460FFBE7">
            <w:pPr>
              <w:pStyle w:val="107"/>
              <w:adjustRightInd w:val="0"/>
              <w:snapToGrid w:val="0"/>
              <w:spacing w:line="500" w:lineRule="exact"/>
              <w:ind w:firstLine="480"/>
              <w:rPr>
                <w:rFonts w:cs="Times New Roman"/>
                <w:color w:val="000000" w:themeColor="text1"/>
                <w:sz w:val="24"/>
                <w14:textFill>
                  <w14:solidFill>
                    <w14:schemeClr w14:val="tx1"/>
                  </w14:solidFill>
                </w14:textFill>
              </w:rPr>
            </w:pPr>
          </w:p>
        </w:tc>
      </w:tr>
    </w:tbl>
    <w:p w14:paraId="1FEDB213">
      <w:pPr>
        <w:adjustRightInd w:val="0"/>
        <w:snapToGrid w:val="0"/>
        <w:jc w:val="center"/>
        <w:rPr>
          <w:rFonts w:eastAsia="宋体"/>
          <w:bCs/>
          <w:color w:val="000000" w:themeColor="text1"/>
          <w:sz w:val="24"/>
          <w14:textFill>
            <w14:solidFill>
              <w14:schemeClr w14:val="tx1"/>
            </w14:solidFill>
          </w14:textFill>
        </w:rPr>
        <w:sectPr>
          <w:pgSz w:w="11907" w:h="16840"/>
          <w:pgMar w:top="1440" w:right="1797" w:bottom="1440" w:left="1797" w:header="851" w:footer="992" w:gutter="0"/>
          <w:cols w:space="720" w:num="1"/>
          <w:docGrid w:linePitch="312" w:charSpace="0"/>
        </w:sectPr>
      </w:pPr>
    </w:p>
    <w:tbl>
      <w:tblPr>
        <w:tblStyle w:val="33"/>
        <w:tblW w:w="8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7869"/>
      </w:tblGrid>
      <w:tr w14:paraId="2002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5" w:hRule="atLeast"/>
          <w:jc w:val="center"/>
        </w:trPr>
        <w:tc>
          <w:tcPr>
            <w:tcW w:w="418" w:type="dxa"/>
            <w:tcMar>
              <w:left w:w="28" w:type="dxa"/>
              <w:right w:w="28" w:type="dxa"/>
            </w:tcMar>
            <w:vAlign w:val="center"/>
          </w:tcPr>
          <w:p w14:paraId="347BAD23">
            <w:pPr>
              <w:adjustRightInd w:val="0"/>
              <w:snapToGrid w:val="0"/>
              <w:jc w:val="center"/>
              <w:rPr>
                <w:rFonts w:eastAsia="宋体"/>
                <w:bCs/>
                <w:color w:val="000000" w:themeColor="text1"/>
                <w:sz w:val="24"/>
                <w14:textFill>
                  <w14:solidFill>
                    <w14:schemeClr w14:val="tx1"/>
                  </w14:solidFill>
                </w14:textFill>
              </w:rPr>
            </w:pPr>
          </w:p>
        </w:tc>
        <w:tc>
          <w:tcPr>
            <w:tcW w:w="7869" w:type="dxa"/>
            <w:vAlign w:val="center"/>
          </w:tcPr>
          <w:p w14:paraId="205E10B7">
            <w:pPr>
              <w:adjustRightInd w:val="0"/>
              <w:snapToGrid w:val="0"/>
              <w:spacing w:line="500" w:lineRule="exact"/>
              <w:ind w:firstLine="480" w:firstLineChars="200"/>
              <w:rPr>
                <w:rFonts w:eastAsia="宋体"/>
                <w:color w:val="000000" w:themeColor="text1"/>
                <w:sz w:val="24"/>
                <w14:textFill>
                  <w14:solidFill>
                    <w14:schemeClr w14:val="tx1"/>
                  </w14:solidFill>
                </w14:textFill>
              </w:rPr>
            </w:pPr>
            <w:bookmarkStart w:id="41" w:name="_Hlk84852832"/>
            <w:bookmarkStart w:id="42" w:name="_Hlk84531229"/>
            <w:r>
              <w:rPr>
                <w:rFonts w:eastAsia="宋体"/>
                <w:color w:val="000000" w:themeColor="text1"/>
                <w:sz w:val="24"/>
                <w14:textFill>
                  <w14:solidFill>
                    <w14:schemeClr w14:val="tx1"/>
                  </w14:solidFill>
                </w14:textFill>
              </w:rPr>
              <w:t>（二）主要污染物及源强</w:t>
            </w:r>
          </w:p>
          <w:p w14:paraId="05D8FD51">
            <w:pPr>
              <w:pStyle w:val="78"/>
              <w:spacing w:line="500" w:lineRule="exact"/>
              <w:rPr>
                <w:rFonts w:eastAsia="宋体"/>
                <w:color w:val="000000" w:themeColor="text1"/>
                <w14:textFill>
                  <w14:solidFill>
                    <w14:schemeClr w14:val="tx1"/>
                  </w14:solidFill>
                </w14:textFill>
              </w:rPr>
            </w:pPr>
            <w:r>
              <w:rPr>
                <w:rFonts w:hint="eastAsia" w:eastAsia="宋体"/>
                <w:color w:val="000000" w:themeColor="text1"/>
                <w:lang w:val="en-US" w:eastAsia="zh-CN"/>
                <w14:textFill>
                  <w14:solidFill>
                    <w14:schemeClr w14:val="tx1"/>
                  </w14:solidFill>
                </w14:textFill>
              </w:rPr>
              <w:t>由于2621氮肥制造行业系数手册无相关系数，</w:t>
            </w:r>
            <w:r>
              <w:rPr>
                <w:rFonts w:eastAsia="宋体"/>
                <w:color w:val="000000" w:themeColor="text1"/>
                <w14:textFill>
                  <w14:solidFill>
                    <w14:schemeClr w14:val="tx1"/>
                  </w14:solidFill>
                </w14:textFill>
              </w:rPr>
              <w:t>颗粒物产生量</w:t>
            </w:r>
            <w:r>
              <w:rPr>
                <w:rFonts w:hint="eastAsia" w:eastAsia="宋体"/>
                <w:color w:val="000000" w:themeColor="text1"/>
                <w:lang w:val="en-US" w:eastAsia="zh-CN"/>
                <w14:textFill>
                  <w14:solidFill>
                    <w14:schemeClr w14:val="tx1"/>
                  </w14:solidFill>
                </w14:textFill>
              </w:rPr>
              <w:t>参考</w:t>
            </w:r>
            <w:r>
              <w:rPr>
                <w:rFonts w:eastAsia="宋体"/>
                <w:color w:val="000000" w:themeColor="text1"/>
                <w14:textFill>
                  <w14:solidFill>
                    <w14:schemeClr w14:val="tx1"/>
                  </w14:solidFill>
                </w14:textFill>
              </w:rPr>
              <w:t>《排放源统计调查产排污核算方法和系数手册》（2021年第24号文）中2624复混肥料制造行业系数手册，混合法颗粒物产污系数8.40kg/t-产品。计算可知，本项目生产过程中粉尘产生量为16.8t/a。</w:t>
            </w:r>
          </w:p>
          <w:p w14:paraId="65EFE89E">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本项目在粉碎、进料口、筛分、包装工序设置收集效率为90%的集气罩，颗粒物被收集后由处理效率为99%的布袋除尘器处理后经15m高排气筒DA001排放，风量10000m</w:t>
            </w:r>
            <w:r>
              <w:rPr>
                <w:rFonts w:eastAsia="宋体"/>
                <w:color w:val="000000" w:themeColor="text1"/>
                <w:vertAlign w:val="superscript"/>
                <w14:textFill>
                  <w14:solidFill>
                    <w14:schemeClr w14:val="tx1"/>
                  </w14:solidFill>
                </w14:textFill>
              </w:rPr>
              <w:t>3</w:t>
            </w:r>
            <w:r>
              <w:rPr>
                <w:rFonts w:eastAsia="宋体"/>
                <w:color w:val="000000" w:themeColor="text1"/>
                <w14:textFill>
                  <w14:solidFill>
                    <w14:schemeClr w14:val="tx1"/>
                  </w14:solidFill>
                </w14:textFill>
              </w:rPr>
              <w:t>/h，处理后生产车间有组织颗粒物排放量为0.15t/a，排放浓度为8mg/m</w:t>
            </w:r>
            <w:r>
              <w:rPr>
                <w:rFonts w:eastAsia="宋体"/>
                <w:color w:val="000000" w:themeColor="text1"/>
                <w:vertAlign w:val="superscript"/>
                <w14:textFill>
                  <w14:solidFill>
                    <w14:schemeClr w14:val="tx1"/>
                  </w14:solidFill>
                </w14:textFill>
              </w:rPr>
              <w:t>3</w:t>
            </w:r>
            <w:r>
              <w:rPr>
                <w:rFonts w:eastAsia="宋体"/>
                <w:color w:val="000000" w:themeColor="text1"/>
                <w14:textFill>
                  <w14:solidFill>
                    <w14:schemeClr w14:val="tx1"/>
                  </w14:solidFill>
                </w14:textFill>
              </w:rPr>
              <w:t>，排放速率为0.08kg/h。</w:t>
            </w:r>
          </w:p>
          <w:p w14:paraId="61E0CBED">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本项目未被集气罩收集的颗粒物以无组织形式进行排放，运营期无组织颗粒物产生量为1.68t/a，0.88kg/h。对未被收集的废气以无组织形式进行排放，车间厂房密闭，对废气阻隔率为90%，排放量为0.168t/a。</w:t>
            </w:r>
          </w:p>
          <w:p w14:paraId="24FBFD91">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（三）污染防治措施可行技术分析</w:t>
            </w:r>
          </w:p>
          <w:p w14:paraId="6F8C6E5C">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根据</w:t>
            </w:r>
            <w:r>
              <w:rPr>
                <w:rFonts w:hint="eastAsia" w:eastAsia="宋体"/>
                <w:color w:val="000000" w:themeColor="text1"/>
                <w:lang w:eastAsia="zh-CN"/>
                <w14:textFill>
                  <w14:solidFill>
                    <w14:schemeClr w14:val="tx1"/>
                  </w14:solidFill>
                </w14:textFill>
              </w:rPr>
              <w:t>《排污许可证申请与核发技术规范 化肥工业-氮肥》（HJ864.1-2017）</w:t>
            </w:r>
            <w:r>
              <w:rPr>
                <w:rFonts w:eastAsia="宋体"/>
                <w:color w:val="000000" w:themeColor="text1"/>
                <w14:textFill>
                  <w14:solidFill>
                    <w14:schemeClr w14:val="tx1"/>
                  </w14:solidFill>
                </w14:textFill>
              </w:rPr>
              <w:t>，废气治理措施可行性技术为袋式除尘器或湿式除尘器（喷淋塔），本项目氮肥车间采取袋式除尘的方式，故属于可行性技术。</w:t>
            </w:r>
            <w:bookmarkEnd w:id="41"/>
            <w:bookmarkEnd w:id="42"/>
          </w:p>
          <w:p w14:paraId="0BA7ADC6">
            <w:pPr>
              <w:pStyle w:val="107"/>
              <w:adjustRightInd w:val="0"/>
              <w:snapToGrid w:val="0"/>
              <w:spacing w:line="500" w:lineRule="exact"/>
              <w:ind w:firstLine="480"/>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本项目生产车间厂房密闭，收集的粉尘落入灰斗后被系统直接捕集并回用，少量粉尘因静电吸附、湿度结块等沉降在罩壁或设备死角，未被抽吸系统完全捕获，在密闭厂房沉降后回用。</w:t>
            </w:r>
          </w:p>
          <w:p w14:paraId="1EB3439F">
            <w:pPr>
              <w:pStyle w:val="107"/>
              <w:adjustRightInd w:val="0"/>
              <w:snapToGrid w:val="0"/>
              <w:spacing w:line="500" w:lineRule="exact"/>
              <w:ind w:firstLine="480"/>
              <w:rPr>
                <w:rFonts w:cs="Times New Roman"/>
                <w:color w:val="000000" w:themeColor="text1"/>
                <w:sz w:val="24"/>
                <w14:textFill>
                  <w14:solidFill>
                    <w14:schemeClr w14:val="tx1"/>
                  </w14:solidFill>
                </w14:textFill>
              </w:rPr>
            </w:pPr>
            <w:r>
              <w:rPr>
                <w:rFonts w:hint="eastAsia" w:cs="Times New Roman"/>
                <w:color w:val="000000" w:themeColor="text1"/>
                <w:sz w:val="24"/>
                <w14:textFill>
                  <w14:solidFill>
                    <w14:schemeClr w14:val="tx1"/>
                  </w14:solidFill>
                </w14:textFill>
              </w:rPr>
              <w:t>根据《大气污染物综合排放标准》（GB16297-1996），应设置15m高排气筒高空有组织排放，另根据7.1，“还应高出周围200m半径范围的建筑5m以上”。本项目采用15m高排气筒有组织排放废气周围200m最高建筑物为厂区内</w:t>
            </w:r>
            <w:r>
              <w:rPr>
                <w:rFonts w:hint="eastAsia" w:cs="Times New Roman"/>
                <w:color w:val="000000" w:themeColor="text1"/>
                <w:sz w:val="24"/>
                <w:lang w:val="en-US" w:eastAsia="zh-CN"/>
                <w14:textFill>
                  <w14:solidFill>
                    <w14:schemeClr w14:val="tx1"/>
                  </w14:solidFill>
                </w14:textFill>
              </w:rPr>
              <w:t>生产车间</w:t>
            </w:r>
            <w:r>
              <w:rPr>
                <w:rFonts w:hint="eastAsia" w:cs="Times New Roman"/>
                <w:color w:val="000000" w:themeColor="text1"/>
                <w:sz w:val="24"/>
                <w14:textFill>
                  <w14:solidFill>
                    <w14:schemeClr w14:val="tx1"/>
                  </w14:solidFill>
                </w14:textFill>
              </w:rPr>
              <w:t>，高度为</w:t>
            </w:r>
            <w:r>
              <w:rPr>
                <w:rFonts w:hint="eastAsia" w:cs="Times New Roman"/>
                <w:color w:val="000000" w:themeColor="text1"/>
                <w:sz w:val="24"/>
                <w:lang w:val="en-US" w:eastAsia="zh-CN"/>
                <w14:textFill>
                  <w14:solidFill>
                    <w14:schemeClr w14:val="tx1"/>
                  </w14:solidFill>
                </w14:textFill>
              </w:rPr>
              <w:t>10</w:t>
            </w:r>
            <w:r>
              <w:rPr>
                <w:rFonts w:hint="eastAsia" w:cs="Times New Roman"/>
                <w:color w:val="000000" w:themeColor="text1"/>
                <w:sz w:val="24"/>
                <w14:textFill>
                  <w14:solidFill>
                    <w14:schemeClr w14:val="tx1"/>
                  </w14:solidFill>
                </w14:textFill>
              </w:rPr>
              <w:t>m，因此项目排气筒高度设置合理，环保措施符合标准要求。</w:t>
            </w:r>
          </w:p>
          <w:p w14:paraId="674C5D65">
            <w:pPr>
              <w:pStyle w:val="107"/>
              <w:adjustRightInd w:val="0"/>
              <w:snapToGrid w:val="0"/>
              <w:spacing w:line="500" w:lineRule="exact"/>
              <w:ind w:firstLine="480"/>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（四）非正常工况分析</w:t>
            </w:r>
          </w:p>
          <w:p w14:paraId="31C0C0E2">
            <w:pPr>
              <w:adjustRightInd w:val="0"/>
              <w:snapToGrid w:val="0"/>
              <w:spacing w:line="500" w:lineRule="exact"/>
              <w:ind w:firstLine="480" w:firstLineChars="200"/>
              <w:rPr>
                <w:rFonts w:eastAsia="宋体"/>
                <w:b/>
                <w:color w:val="000000" w:themeColor="text1"/>
                <w:kern w:val="0"/>
                <w:sz w:val="24"/>
                <w14:textFill>
                  <w14:solidFill>
                    <w14:schemeClr w14:val="tx1"/>
                  </w14:solidFill>
                </w14:textFill>
              </w:rPr>
            </w:pPr>
            <w:r>
              <w:rPr>
                <w:rFonts w:eastAsia="宋体"/>
                <w:color w:val="000000" w:themeColor="text1"/>
                <w:sz w:val="24"/>
                <w14:textFill>
                  <w14:solidFill>
                    <w14:schemeClr w14:val="tx1"/>
                  </w14:solidFill>
                </w14:textFill>
              </w:rPr>
              <w:t>本项目非正常工况主要体现为布袋除尘器除尘装置设备故障，除尘效率降至85%，粉尘会大量溢出，如突然发现排放浓度异常，应立即组织工作人员对设备进行检查与维修并在检修过后总结设备非正常工作原因，防止此类事件再次发生。非正常工况下废气污染物排放情况见下表。</w:t>
            </w:r>
          </w:p>
          <w:p w14:paraId="74996591">
            <w:pPr>
              <w:jc w:val="center"/>
              <w:rPr>
                <w:rFonts w:eastAsia="宋体"/>
                <w:b/>
                <w:color w:val="000000" w:themeColor="text1"/>
                <w:kern w:val="0"/>
                <w:sz w:val="24"/>
                <w14:textFill>
                  <w14:solidFill>
                    <w14:schemeClr w14:val="tx1"/>
                  </w14:solidFill>
                </w14:textFill>
              </w:rPr>
            </w:pPr>
            <w:r>
              <w:rPr>
                <w:rFonts w:eastAsia="宋体"/>
                <w:b/>
                <w:color w:val="000000" w:themeColor="text1"/>
                <w:kern w:val="0"/>
                <w:sz w:val="24"/>
                <w14:textFill>
                  <w14:solidFill>
                    <w14:schemeClr w14:val="tx1"/>
                  </w14:solidFill>
                </w14:textFill>
              </w:rPr>
              <w:t>表4-2污染源非正常排放量核算表</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2"/>
              <w:gridCol w:w="777"/>
              <w:gridCol w:w="770"/>
              <w:gridCol w:w="651"/>
              <w:gridCol w:w="1073"/>
              <w:gridCol w:w="959"/>
              <w:gridCol w:w="607"/>
              <w:gridCol w:w="778"/>
              <w:gridCol w:w="730"/>
              <w:gridCol w:w="506"/>
            </w:tblGrid>
            <w:tr w14:paraId="62BBA5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restart"/>
                  <w:vAlign w:val="center"/>
                </w:tcPr>
                <w:p w14:paraId="4B74B22F">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工序/生产线</w:t>
                  </w:r>
                </w:p>
              </w:tc>
              <w:tc>
                <w:tcPr>
                  <w:tcW w:w="778" w:type="dxa"/>
                  <w:vMerge w:val="restart"/>
                  <w:vAlign w:val="center"/>
                </w:tcPr>
                <w:p w14:paraId="17DB57E9">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污染源</w:t>
                  </w:r>
                </w:p>
              </w:tc>
              <w:tc>
                <w:tcPr>
                  <w:tcW w:w="770" w:type="dxa"/>
                  <w:vMerge w:val="restart"/>
                  <w:vAlign w:val="center"/>
                </w:tcPr>
                <w:p w14:paraId="07F7EF6C">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污染物</w:t>
                  </w:r>
                </w:p>
              </w:tc>
              <w:tc>
                <w:tcPr>
                  <w:tcW w:w="1724" w:type="dxa"/>
                  <w:gridSpan w:val="2"/>
                  <w:vAlign w:val="center"/>
                </w:tcPr>
                <w:p w14:paraId="357F65D9">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污染物产生</w:t>
                  </w:r>
                </w:p>
              </w:tc>
              <w:tc>
                <w:tcPr>
                  <w:tcW w:w="1566" w:type="dxa"/>
                  <w:gridSpan w:val="2"/>
                  <w:vAlign w:val="center"/>
                </w:tcPr>
                <w:p w14:paraId="657BB68C">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治理措施</w:t>
                  </w:r>
                </w:p>
              </w:tc>
              <w:tc>
                <w:tcPr>
                  <w:tcW w:w="1508" w:type="dxa"/>
                  <w:gridSpan w:val="2"/>
                  <w:vAlign w:val="center"/>
                </w:tcPr>
                <w:p w14:paraId="5F4DB24F">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污染物排放</w:t>
                  </w:r>
                </w:p>
              </w:tc>
              <w:tc>
                <w:tcPr>
                  <w:tcW w:w="506" w:type="dxa"/>
                  <w:vMerge w:val="restart"/>
                  <w:vAlign w:val="center"/>
                </w:tcPr>
                <w:p w14:paraId="0003D83E">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排放</w:t>
                  </w:r>
                </w:p>
                <w:p w14:paraId="3302727A">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时间</w:t>
                  </w:r>
                </w:p>
              </w:tc>
            </w:tr>
            <w:tr w14:paraId="6B6C79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vAlign w:val="center"/>
                </w:tcPr>
                <w:p w14:paraId="196E7B84">
                  <w:pPr>
                    <w:jc w:val="center"/>
                    <w:rPr>
                      <w:rFonts w:eastAsia="宋体"/>
                      <w:color w:val="000000" w:themeColor="text1"/>
                      <w:kern w:val="0"/>
                      <w:sz w:val="24"/>
                      <w14:textFill>
                        <w14:solidFill>
                          <w14:schemeClr w14:val="tx1"/>
                        </w14:solidFill>
                      </w14:textFill>
                    </w:rPr>
                  </w:pPr>
                </w:p>
              </w:tc>
              <w:tc>
                <w:tcPr>
                  <w:tcW w:w="778" w:type="dxa"/>
                  <w:vMerge w:val="continue"/>
                  <w:vAlign w:val="center"/>
                </w:tcPr>
                <w:p w14:paraId="6AFF0774">
                  <w:pPr>
                    <w:jc w:val="center"/>
                    <w:rPr>
                      <w:rFonts w:eastAsia="宋体"/>
                      <w:color w:val="000000" w:themeColor="text1"/>
                      <w:kern w:val="0"/>
                      <w:sz w:val="24"/>
                      <w14:textFill>
                        <w14:solidFill>
                          <w14:schemeClr w14:val="tx1"/>
                        </w14:solidFill>
                      </w14:textFill>
                    </w:rPr>
                  </w:pPr>
                </w:p>
              </w:tc>
              <w:tc>
                <w:tcPr>
                  <w:tcW w:w="770" w:type="dxa"/>
                  <w:vMerge w:val="continue"/>
                  <w:vAlign w:val="center"/>
                </w:tcPr>
                <w:p w14:paraId="056D9084">
                  <w:pPr>
                    <w:jc w:val="center"/>
                    <w:rPr>
                      <w:rFonts w:eastAsia="宋体"/>
                      <w:color w:val="000000" w:themeColor="text1"/>
                      <w:kern w:val="0"/>
                      <w:sz w:val="24"/>
                      <w14:textFill>
                        <w14:solidFill>
                          <w14:schemeClr w14:val="tx1"/>
                        </w14:solidFill>
                      </w14:textFill>
                    </w:rPr>
                  </w:pPr>
                </w:p>
              </w:tc>
              <w:tc>
                <w:tcPr>
                  <w:tcW w:w="651" w:type="dxa"/>
                  <w:vAlign w:val="center"/>
                </w:tcPr>
                <w:p w14:paraId="741547EA">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核算</w:t>
                  </w:r>
                </w:p>
                <w:p w14:paraId="1E8970D2">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方法</w:t>
                  </w:r>
                </w:p>
              </w:tc>
              <w:tc>
                <w:tcPr>
                  <w:tcW w:w="1073" w:type="dxa"/>
                  <w:vAlign w:val="center"/>
                </w:tcPr>
                <w:p w14:paraId="67B4DEFF">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废气产生量kg/h</w:t>
                  </w:r>
                </w:p>
              </w:tc>
              <w:tc>
                <w:tcPr>
                  <w:tcW w:w="959" w:type="dxa"/>
                  <w:vAlign w:val="center"/>
                </w:tcPr>
                <w:p w14:paraId="0A0073BE">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工艺</w:t>
                  </w:r>
                </w:p>
              </w:tc>
              <w:tc>
                <w:tcPr>
                  <w:tcW w:w="607" w:type="dxa"/>
                  <w:vAlign w:val="center"/>
                </w:tcPr>
                <w:p w14:paraId="08A200E3">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效率</w:t>
                  </w:r>
                </w:p>
              </w:tc>
              <w:tc>
                <w:tcPr>
                  <w:tcW w:w="778" w:type="dxa"/>
                  <w:vAlign w:val="center"/>
                </w:tcPr>
                <w:p w14:paraId="6C0A2EB1">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核算方法</w:t>
                  </w:r>
                </w:p>
              </w:tc>
              <w:tc>
                <w:tcPr>
                  <w:tcW w:w="730" w:type="dxa"/>
                  <w:vAlign w:val="center"/>
                </w:tcPr>
                <w:p w14:paraId="37DBF287">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排放量</w:t>
                  </w:r>
                </w:p>
                <w:p w14:paraId="72F0D756">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kg/h</w:t>
                  </w:r>
                </w:p>
              </w:tc>
              <w:tc>
                <w:tcPr>
                  <w:tcW w:w="506" w:type="dxa"/>
                  <w:vMerge w:val="continue"/>
                  <w:vAlign w:val="center"/>
                </w:tcPr>
                <w:p w14:paraId="49ABE509">
                  <w:pPr>
                    <w:jc w:val="center"/>
                    <w:rPr>
                      <w:rFonts w:eastAsia="宋体"/>
                      <w:color w:val="000000" w:themeColor="text1"/>
                      <w:kern w:val="0"/>
                      <w:sz w:val="24"/>
                      <w14:textFill>
                        <w14:solidFill>
                          <w14:schemeClr w14:val="tx1"/>
                        </w14:solidFill>
                      </w14:textFill>
                    </w:rPr>
                  </w:pPr>
                </w:p>
              </w:tc>
            </w:tr>
            <w:tr w14:paraId="274B2B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803" w:type="dxa"/>
                  <w:vAlign w:val="center"/>
                </w:tcPr>
                <w:p w14:paraId="55087F1C">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生产加工</w:t>
                  </w:r>
                </w:p>
              </w:tc>
              <w:tc>
                <w:tcPr>
                  <w:tcW w:w="778" w:type="dxa"/>
                  <w:vAlign w:val="center"/>
                </w:tcPr>
                <w:p w14:paraId="4D8D7C0D">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加工车间</w:t>
                  </w:r>
                </w:p>
              </w:tc>
              <w:tc>
                <w:tcPr>
                  <w:tcW w:w="770" w:type="dxa"/>
                  <w:vAlign w:val="center"/>
                </w:tcPr>
                <w:p w14:paraId="270AE2F7">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粉尘</w:t>
                  </w:r>
                </w:p>
              </w:tc>
              <w:tc>
                <w:tcPr>
                  <w:tcW w:w="651" w:type="dxa"/>
                  <w:vAlign w:val="center"/>
                </w:tcPr>
                <w:p w14:paraId="26DC8E0A">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系数法</w:t>
                  </w:r>
                </w:p>
              </w:tc>
              <w:tc>
                <w:tcPr>
                  <w:tcW w:w="1073" w:type="dxa"/>
                  <w:vAlign w:val="center"/>
                </w:tcPr>
                <w:p w14:paraId="686871C6">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8.75</w:t>
                  </w:r>
                </w:p>
              </w:tc>
              <w:tc>
                <w:tcPr>
                  <w:tcW w:w="959" w:type="dxa"/>
                  <w:vAlign w:val="center"/>
                </w:tcPr>
                <w:p w14:paraId="17D1D6FE">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布袋除尘器故障</w:t>
                  </w:r>
                </w:p>
              </w:tc>
              <w:tc>
                <w:tcPr>
                  <w:tcW w:w="607" w:type="dxa"/>
                  <w:vAlign w:val="center"/>
                </w:tcPr>
                <w:p w14:paraId="4E09CFD5">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85%</w:t>
                  </w:r>
                </w:p>
              </w:tc>
              <w:tc>
                <w:tcPr>
                  <w:tcW w:w="778" w:type="dxa"/>
                  <w:vAlign w:val="center"/>
                </w:tcPr>
                <w:p w14:paraId="286A5EB8">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类比法</w:t>
                  </w:r>
                </w:p>
              </w:tc>
              <w:tc>
                <w:tcPr>
                  <w:tcW w:w="730" w:type="dxa"/>
                  <w:vAlign w:val="center"/>
                </w:tcPr>
                <w:p w14:paraId="4A413BA6">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1.3125</w:t>
                  </w:r>
                </w:p>
              </w:tc>
              <w:tc>
                <w:tcPr>
                  <w:tcW w:w="506" w:type="dxa"/>
                  <w:vAlign w:val="center"/>
                </w:tcPr>
                <w:p w14:paraId="409D133F">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1h</w:t>
                  </w:r>
                </w:p>
              </w:tc>
            </w:tr>
          </w:tbl>
          <w:p w14:paraId="23297154">
            <w:pPr>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（五）监测计划</w:t>
            </w:r>
          </w:p>
          <w:p w14:paraId="79B9CC86">
            <w:pPr>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依据《排污单位自行监测技术指南 总则》（HJ819-2017）、</w:t>
            </w:r>
            <w:r>
              <w:rPr>
                <w:rFonts w:hint="eastAsia" w:eastAsia="宋体"/>
                <w:color w:val="000000" w:themeColor="text1"/>
                <w:sz w:val="24"/>
                <w:lang w:eastAsia="zh-CN"/>
                <w14:textFill>
                  <w14:solidFill>
                    <w14:schemeClr w14:val="tx1"/>
                  </w14:solidFill>
                </w14:textFill>
              </w:rPr>
              <w:t>《排污许可证申请与核发技术规范 化肥工业-氮肥》（HJ864.1-2017）</w:t>
            </w:r>
            <w:r>
              <w:rPr>
                <w:rFonts w:eastAsia="宋体"/>
                <w:color w:val="000000" w:themeColor="text1"/>
                <w:sz w:val="24"/>
                <w14:textFill>
                  <w14:solidFill>
                    <w14:schemeClr w14:val="tx1"/>
                  </w14:solidFill>
                </w14:textFill>
              </w:rPr>
              <w:t>要求，确定本项目污染源监测计划，本项目污染源监测计划见下表。</w:t>
            </w:r>
          </w:p>
          <w:p w14:paraId="62D23A33">
            <w:pPr>
              <w:jc w:val="center"/>
              <w:rPr>
                <w:rFonts w:eastAsia="宋体"/>
                <w:b/>
                <w:color w:val="000000" w:themeColor="text1"/>
                <w:kern w:val="0"/>
                <w:sz w:val="24"/>
                <w14:textFill>
                  <w14:solidFill>
                    <w14:schemeClr w14:val="tx1"/>
                  </w14:solidFill>
                </w14:textFill>
              </w:rPr>
            </w:pPr>
            <w:r>
              <w:rPr>
                <w:rFonts w:eastAsia="宋体"/>
                <w:b/>
                <w:color w:val="000000" w:themeColor="text1"/>
                <w:kern w:val="0"/>
                <w:sz w:val="24"/>
                <w14:textFill>
                  <w14:solidFill>
                    <w14:schemeClr w14:val="tx1"/>
                  </w14:solidFill>
                </w14:textFill>
              </w:rPr>
              <w:t>表4-3大气污染源监测计划一览表</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190"/>
              <w:gridCol w:w="2463"/>
              <w:gridCol w:w="2394"/>
              <w:gridCol w:w="1606"/>
            </w:tblGrid>
            <w:tr w14:paraId="5EB93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778" w:type="pct"/>
                  <w:vAlign w:val="center"/>
                </w:tcPr>
                <w:p w14:paraId="335E5809">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类别</w:t>
                  </w:r>
                </w:p>
              </w:tc>
              <w:tc>
                <w:tcPr>
                  <w:tcW w:w="1608" w:type="pct"/>
                  <w:vAlign w:val="center"/>
                </w:tcPr>
                <w:p w14:paraId="453FFD9C">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监测因子</w:t>
                  </w:r>
                </w:p>
              </w:tc>
              <w:tc>
                <w:tcPr>
                  <w:tcW w:w="1563" w:type="pct"/>
                  <w:vAlign w:val="center"/>
                </w:tcPr>
                <w:p w14:paraId="50BC696C">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监测点位</w:t>
                  </w:r>
                </w:p>
              </w:tc>
              <w:tc>
                <w:tcPr>
                  <w:tcW w:w="1048" w:type="pct"/>
                  <w:vAlign w:val="center"/>
                </w:tcPr>
                <w:p w14:paraId="2BA65BE4">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监测频率</w:t>
                  </w:r>
                </w:p>
              </w:tc>
            </w:tr>
            <w:tr w14:paraId="5DE44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78" w:type="pct"/>
                  <w:vMerge w:val="restart"/>
                  <w:vAlign w:val="center"/>
                </w:tcPr>
                <w:p w14:paraId="48506D7D">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大气</w:t>
                  </w:r>
                </w:p>
              </w:tc>
              <w:tc>
                <w:tcPr>
                  <w:tcW w:w="1608" w:type="pct"/>
                  <w:vAlign w:val="center"/>
                </w:tcPr>
                <w:p w14:paraId="17A571EC">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颗粒物</w:t>
                  </w:r>
                </w:p>
              </w:tc>
              <w:tc>
                <w:tcPr>
                  <w:tcW w:w="1563" w:type="pct"/>
                  <w:vAlign w:val="center"/>
                </w:tcPr>
                <w:p w14:paraId="48192A15">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15m高排气筒DA001</w:t>
                  </w:r>
                </w:p>
              </w:tc>
              <w:tc>
                <w:tcPr>
                  <w:tcW w:w="1048" w:type="pct"/>
                  <w:tcBorders>
                    <w:top w:val="single" w:color="auto" w:sz="4" w:space="0"/>
                  </w:tcBorders>
                  <w:vAlign w:val="center"/>
                </w:tcPr>
                <w:p w14:paraId="5C5254B0">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1次/半年</w:t>
                  </w:r>
                </w:p>
              </w:tc>
            </w:tr>
            <w:tr w14:paraId="169F1F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78" w:type="pct"/>
                  <w:vMerge w:val="continue"/>
                  <w:vAlign w:val="center"/>
                </w:tcPr>
                <w:p w14:paraId="179EDB92">
                  <w:pPr>
                    <w:jc w:val="center"/>
                    <w:rPr>
                      <w:rFonts w:eastAsia="宋体"/>
                      <w:color w:val="000000" w:themeColor="text1"/>
                      <w:kern w:val="0"/>
                      <w:sz w:val="24"/>
                      <w14:textFill>
                        <w14:solidFill>
                          <w14:schemeClr w14:val="tx1"/>
                        </w14:solidFill>
                      </w14:textFill>
                    </w:rPr>
                  </w:pPr>
                </w:p>
              </w:tc>
              <w:tc>
                <w:tcPr>
                  <w:tcW w:w="1608" w:type="pct"/>
                  <w:vAlign w:val="center"/>
                </w:tcPr>
                <w:p w14:paraId="02F0D135">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颗粒物</w:t>
                  </w:r>
                </w:p>
              </w:tc>
              <w:tc>
                <w:tcPr>
                  <w:tcW w:w="1563" w:type="pct"/>
                  <w:vAlign w:val="center"/>
                </w:tcPr>
                <w:p w14:paraId="0014A7DD">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厂界</w:t>
                  </w:r>
                </w:p>
              </w:tc>
              <w:tc>
                <w:tcPr>
                  <w:tcW w:w="1048" w:type="pct"/>
                  <w:vAlign w:val="center"/>
                </w:tcPr>
                <w:p w14:paraId="5E2F938D">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1次/季度</w:t>
                  </w:r>
                </w:p>
              </w:tc>
            </w:tr>
          </w:tbl>
          <w:p w14:paraId="3A3D5410">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二、运营期水环境影响分析和保护措施</w:t>
            </w:r>
          </w:p>
          <w:p w14:paraId="3B581D9A">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（1）水环境污染源项分析</w:t>
            </w:r>
          </w:p>
          <w:p w14:paraId="08C14D5E">
            <w:pPr>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本项目运营期废水主要为生活污水。生活污水按用水量的80%计算，排放量为0.64t/d</w:t>
            </w:r>
            <w:r>
              <w:rPr>
                <w:rFonts w:eastAsia="宋体"/>
                <w:color w:val="000000" w:themeColor="text1"/>
                <w:kern w:val="0"/>
                <w:sz w:val="24"/>
                <w:lang w:val="zh-CN"/>
                <w14:textFill>
                  <w14:solidFill>
                    <w14:schemeClr w14:val="tx1"/>
                  </w14:solidFill>
                </w14:textFill>
              </w:rPr>
              <w:t>、</w:t>
            </w:r>
            <w:r>
              <w:rPr>
                <w:rFonts w:eastAsia="宋体"/>
                <w:color w:val="000000" w:themeColor="text1"/>
                <w:kern w:val="0"/>
                <w:sz w:val="24"/>
                <w14:textFill>
                  <w14:solidFill>
                    <w14:schemeClr w14:val="tx1"/>
                  </w14:solidFill>
                </w14:textFill>
              </w:rPr>
              <w:t>153.6</w:t>
            </w:r>
            <w:r>
              <w:rPr>
                <w:rFonts w:eastAsia="宋体"/>
                <w:color w:val="000000" w:themeColor="text1"/>
                <w:kern w:val="0"/>
                <w:sz w:val="24"/>
                <w:lang w:val="zh-CN"/>
                <w14:textFill>
                  <w14:solidFill>
                    <w14:schemeClr w14:val="tx1"/>
                  </w14:solidFill>
                </w14:textFill>
              </w:rPr>
              <w:t>t/a</w:t>
            </w:r>
            <w:r>
              <w:rPr>
                <w:rFonts w:eastAsia="宋体"/>
                <w:color w:val="000000" w:themeColor="text1"/>
                <w:sz w:val="24"/>
                <w14:textFill>
                  <w14:solidFill>
                    <w14:schemeClr w14:val="tx1"/>
                  </w14:solidFill>
                </w14:textFill>
              </w:rPr>
              <w:t>。生活污水主要污染物为COD、SS、BOD</w:t>
            </w:r>
            <w:r>
              <w:rPr>
                <w:rFonts w:eastAsia="宋体"/>
                <w:color w:val="000000" w:themeColor="text1"/>
                <w:sz w:val="24"/>
                <w:vertAlign w:val="subscript"/>
                <w14:textFill>
                  <w14:solidFill>
                    <w14:schemeClr w14:val="tx1"/>
                  </w14:solidFill>
                </w14:textFill>
              </w:rPr>
              <w:t>5</w:t>
            </w:r>
            <w:r>
              <w:rPr>
                <w:rFonts w:eastAsia="宋体"/>
                <w:color w:val="000000" w:themeColor="text1"/>
                <w:sz w:val="24"/>
                <w14:textFill>
                  <w14:solidFill>
                    <w14:schemeClr w14:val="tx1"/>
                  </w14:solidFill>
                </w14:textFill>
              </w:rPr>
              <w:t>和氨氮。</w:t>
            </w:r>
          </w:p>
          <w:p w14:paraId="0FE343D7">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本项目建成后无生产废水排放。食堂污水经隔油池处置后同生活污水排入防渗旱厕，定期清掏。</w:t>
            </w:r>
          </w:p>
          <w:p w14:paraId="7A361701">
            <w:pPr>
              <w:pStyle w:val="88"/>
              <w:keepNext/>
              <w:keepLines w:val="0"/>
              <w:pageBreakBefore w:val="0"/>
              <w:widowControl/>
              <w:kinsoku/>
              <w:wordWrap w:val="0"/>
              <w:overflowPunct/>
              <w:topLinePunct w:val="0"/>
              <w:autoSpaceDE/>
              <w:autoSpaceDN/>
              <w:bidi w:val="0"/>
              <w:adjustRightInd w:val="0"/>
              <w:snapToGrid w:val="0"/>
              <w:spacing w:line="240" w:lineRule="auto"/>
              <w:textAlignment w:val="auto"/>
              <w:rPr>
                <w:rFonts w:ascii="Times New Roman" w:hAnsi="Times New Roman" w:eastAsia="宋体" w:cs="Times New Roman"/>
                <w:b/>
                <w:bCs/>
                <w:color w:val="000000" w:themeColor="text1"/>
                <w:szCs w:val="24"/>
                <w14:textFill>
                  <w14:solidFill>
                    <w14:schemeClr w14:val="tx1"/>
                  </w14:solidFill>
                </w14:textFill>
              </w:rPr>
            </w:pPr>
            <w:r>
              <w:rPr>
                <w:rFonts w:ascii="Times New Roman" w:hAnsi="Times New Roman" w:eastAsia="宋体" w:cs="Times New Roman"/>
                <w:b/>
                <w:bCs/>
                <w:color w:val="000000" w:themeColor="text1"/>
                <w:szCs w:val="24"/>
                <w14:textFill>
                  <w14:solidFill>
                    <w14:schemeClr w14:val="tx1"/>
                  </w14:solidFill>
                </w14:textFill>
              </w:rPr>
              <w:t>表4-4生活污水污染物情况表</w:t>
            </w:r>
          </w:p>
          <w:tbl>
            <w:tblPr>
              <w:tblStyle w:val="33"/>
              <w:tblpPr w:leftFromText="181" w:rightFromText="181" w:vertAnchor="text" w:horzAnchor="page" w:tblpX="29" w:tblpY="143"/>
              <w:tblOverlap w:val="never"/>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91"/>
              <w:gridCol w:w="905"/>
              <w:gridCol w:w="500"/>
              <w:gridCol w:w="639"/>
              <w:gridCol w:w="695"/>
              <w:gridCol w:w="1103"/>
              <w:gridCol w:w="347"/>
              <w:gridCol w:w="418"/>
              <w:gridCol w:w="592"/>
              <w:gridCol w:w="588"/>
              <w:gridCol w:w="686"/>
              <w:gridCol w:w="687"/>
            </w:tblGrid>
            <w:tr w14:paraId="7B078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c>
                <w:tcPr>
                  <w:tcW w:w="320" w:type="pct"/>
                  <w:vMerge w:val="restart"/>
                  <w:vAlign w:val="center"/>
                </w:tcPr>
                <w:p w14:paraId="2687EB1F">
                  <w:pPr>
                    <w:pStyle w:val="73"/>
                    <w:adjustRightInd w:val="0"/>
                    <w:snapToGrid w:val="0"/>
                    <w:rPr>
                      <w:rFonts w:cs="Times New Roman"/>
                      <w:color w:val="000000" w:themeColor="text1"/>
                      <w:sz w:val="24"/>
                      <w:szCs w:val="24"/>
                      <w14:textFill>
                        <w14:solidFill>
                          <w14:schemeClr w14:val="tx1"/>
                        </w14:solidFill>
                      </w14:textFill>
                    </w:rPr>
                  </w:pPr>
                  <w:bookmarkStart w:id="43" w:name="_Hlk523068116"/>
                  <w:r>
                    <w:rPr>
                      <w:rFonts w:cs="Times New Roman"/>
                      <w:color w:val="000000" w:themeColor="text1"/>
                      <w:sz w:val="24"/>
                      <w:szCs w:val="24"/>
                      <w14:textFill>
                        <w14:solidFill>
                          <w14:schemeClr w14:val="tx1"/>
                        </w14:solidFill>
                      </w14:textFill>
                    </w:rPr>
                    <w:t>污染源</w:t>
                  </w:r>
                </w:p>
              </w:tc>
              <w:tc>
                <w:tcPr>
                  <w:tcW w:w="591" w:type="pct"/>
                  <w:vMerge w:val="restart"/>
                  <w:vAlign w:val="center"/>
                </w:tcPr>
                <w:p w14:paraId="6CFA772E">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污染物</w:t>
                  </w:r>
                </w:p>
              </w:tc>
              <w:tc>
                <w:tcPr>
                  <w:tcW w:w="1918" w:type="pct"/>
                  <w:gridSpan w:val="4"/>
                  <w:vAlign w:val="center"/>
                </w:tcPr>
                <w:p w14:paraId="0071B161">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污染物产生</w:t>
                  </w:r>
                </w:p>
              </w:tc>
              <w:tc>
                <w:tcPr>
                  <w:tcW w:w="500" w:type="pct"/>
                  <w:gridSpan w:val="2"/>
                  <w:vAlign w:val="center"/>
                </w:tcPr>
                <w:p w14:paraId="5041F242">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治理措施</w:t>
                  </w:r>
                </w:p>
              </w:tc>
              <w:tc>
                <w:tcPr>
                  <w:tcW w:w="1668" w:type="pct"/>
                  <w:gridSpan w:val="4"/>
                  <w:vAlign w:val="center"/>
                </w:tcPr>
                <w:p w14:paraId="2FA59B95">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污染物排放</w:t>
                  </w:r>
                </w:p>
              </w:tc>
            </w:tr>
            <w:tr w14:paraId="3F2FC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c>
                <w:tcPr>
                  <w:tcW w:w="320" w:type="pct"/>
                  <w:vMerge w:val="continue"/>
                  <w:vAlign w:val="center"/>
                </w:tcPr>
                <w:p w14:paraId="7F253BBD">
                  <w:pPr>
                    <w:pStyle w:val="73"/>
                    <w:adjustRightInd w:val="0"/>
                    <w:snapToGrid w:val="0"/>
                    <w:rPr>
                      <w:rFonts w:cs="Times New Roman"/>
                      <w:color w:val="000000" w:themeColor="text1"/>
                      <w:sz w:val="24"/>
                      <w:szCs w:val="24"/>
                      <w14:textFill>
                        <w14:solidFill>
                          <w14:schemeClr w14:val="tx1"/>
                        </w14:solidFill>
                      </w14:textFill>
                    </w:rPr>
                  </w:pPr>
                </w:p>
              </w:tc>
              <w:tc>
                <w:tcPr>
                  <w:tcW w:w="591" w:type="pct"/>
                  <w:vMerge w:val="continue"/>
                  <w:vAlign w:val="center"/>
                </w:tcPr>
                <w:p w14:paraId="401C8FC1">
                  <w:pPr>
                    <w:pStyle w:val="73"/>
                    <w:adjustRightInd w:val="0"/>
                    <w:snapToGrid w:val="0"/>
                    <w:rPr>
                      <w:rFonts w:cs="Times New Roman"/>
                      <w:color w:val="000000" w:themeColor="text1"/>
                      <w:sz w:val="24"/>
                      <w:szCs w:val="24"/>
                      <w14:textFill>
                        <w14:solidFill>
                          <w14:schemeClr w14:val="tx1"/>
                        </w14:solidFill>
                      </w14:textFill>
                    </w:rPr>
                  </w:pPr>
                </w:p>
              </w:tc>
              <w:tc>
                <w:tcPr>
                  <w:tcW w:w="326" w:type="pct"/>
                  <w:vAlign w:val="center"/>
                </w:tcPr>
                <w:p w14:paraId="18E6F226">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核算方法</w:t>
                  </w:r>
                </w:p>
              </w:tc>
              <w:tc>
                <w:tcPr>
                  <w:tcW w:w="417" w:type="pct"/>
                  <w:vAlign w:val="center"/>
                </w:tcPr>
                <w:p w14:paraId="26317720">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产生废水/t/a</w:t>
                  </w:r>
                </w:p>
              </w:tc>
              <w:tc>
                <w:tcPr>
                  <w:tcW w:w="454" w:type="pct"/>
                  <w:vAlign w:val="center"/>
                </w:tcPr>
                <w:p w14:paraId="1D1F19A5">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产生浓度/mg/L</w:t>
                  </w:r>
                </w:p>
              </w:tc>
              <w:tc>
                <w:tcPr>
                  <w:tcW w:w="720" w:type="pct"/>
                  <w:vAlign w:val="center"/>
                </w:tcPr>
                <w:p w14:paraId="362A6BD8">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产生量/t/a</w:t>
                  </w:r>
                </w:p>
              </w:tc>
              <w:tc>
                <w:tcPr>
                  <w:tcW w:w="227" w:type="pct"/>
                  <w:vAlign w:val="center"/>
                </w:tcPr>
                <w:p w14:paraId="1648E804">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工艺</w:t>
                  </w:r>
                </w:p>
              </w:tc>
              <w:tc>
                <w:tcPr>
                  <w:tcW w:w="273" w:type="pct"/>
                  <w:vAlign w:val="center"/>
                </w:tcPr>
                <w:p w14:paraId="628D12C9">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效率%</w:t>
                  </w:r>
                </w:p>
              </w:tc>
              <w:tc>
                <w:tcPr>
                  <w:tcW w:w="387" w:type="pct"/>
                  <w:vAlign w:val="center"/>
                </w:tcPr>
                <w:p w14:paraId="34CDFB55">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核算方法</w:t>
                  </w:r>
                </w:p>
              </w:tc>
              <w:tc>
                <w:tcPr>
                  <w:tcW w:w="384" w:type="pct"/>
                  <w:vAlign w:val="center"/>
                </w:tcPr>
                <w:p w14:paraId="0E53655B">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排放废水/t/a</w:t>
                  </w:r>
                </w:p>
              </w:tc>
              <w:tc>
                <w:tcPr>
                  <w:tcW w:w="448" w:type="pct"/>
                  <w:vAlign w:val="center"/>
                </w:tcPr>
                <w:p w14:paraId="1FF02CAD">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排放浓度/mg/L</w:t>
                  </w:r>
                </w:p>
              </w:tc>
              <w:tc>
                <w:tcPr>
                  <w:tcW w:w="447" w:type="pct"/>
                  <w:vAlign w:val="center"/>
                </w:tcPr>
                <w:p w14:paraId="774877BD">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排放量/t/a</w:t>
                  </w:r>
                </w:p>
              </w:tc>
            </w:tr>
            <w:tr w14:paraId="79583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41" w:hRule="atLeast"/>
              </w:trPr>
              <w:tc>
                <w:tcPr>
                  <w:tcW w:w="320" w:type="pct"/>
                  <w:vMerge w:val="restart"/>
                  <w:vAlign w:val="center"/>
                </w:tcPr>
                <w:p w14:paraId="40278073">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生活污水</w:t>
                  </w:r>
                </w:p>
              </w:tc>
              <w:tc>
                <w:tcPr>
                  <w:tcW w:w="591" w:type="pct"/>
                  <w:vAlign w:val="center"/>
                </w:tcPr>
                <w:p w14:paraId="5CE1FFD1">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COD</w:t>
                  </w:r>
                </w:p>
              </w:tc>
              <w:tc>
                <w:tcPr>
                  <w:tcW w:w="326" w:type="pct"/>
                  <w:vMerge w:val="restart"/>
                  <w:vAlign w:val="center"/>
                </w:tcPr>
                <w:p w14:paraId="48724901">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类比法</w:t>
                  </w:r>
                </w:p>
              </w:tc>
              <w:tc>
                <w:tcPr>
                  <w:tcW w:w="417" w:type="pct"/>
                  <w:vMerge w:val="restart"/>
                  <w:vAlign w:val="center"/>
                </w:tcPr>
                <w:p w14:paraId="4379ECE8">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153.6</w:t>
                  </w:r>
                </w:p>
              </w:tc>
              <w:tc>
                <w:tcPr>
                  <w:tcW w:w="454" w:type="pct"/>
                  <w:vAlign w:val="center"/>
                </w:tcPr>
                <w:p w14:paraId="4A44C37B">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300</w:t>
                  </w:r>
                </w:p>
              </w:tc>
              <w:tc>
                <w:tcPr>
                  <w:tcW w:w="720" w:type="pct"/>
                  <w:vAlign w:val="center"/>
                </w:tcPr>
                <w:p w14:paraId="2156942D">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0.046</w:t>
                  </w:r>
                </w:p>
              </w:tc>
              <w:tc>
                <w:tcPr>
                  <w:tcW w:w="227" w:type="pct"/>
                  <w:vMerge w:val="restart"/>
                  <w:vAlign w:val="center"/>
                </w:tcPr>
                <w:p w14:paraId="6B5A1B44">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防渗旱厕</w:t>
                  </w:r>
                </w:p>
              </w:tc>
              <w:tc>
                <w:tcPr>
                  <w:tcW w:w="273" w:type="pct"/>
                  <w:vMerge w:val="restart"/>
                  <w:vAlign w:val="center"/>
                </w:tcPr>
                <w:p w14:paraId="73E28FDF">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w:t>
                  </w:r>
                </w:p>
              </w:tc>
              <w:tc>
                <w:tcPr>
                  <w:tcW w:w="387" w:type="pct"/>
                  <w:vMerge w:val="restart"/>
                  <w:vAlign w:val="center"/>
                </w:tcPr>
                <w:p w14:paraId="5F0075B0">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类比法</w:t>
                  </w:r>
                </w:p>
              </w:tc>
              <w:tc>
                <w:tcPr>
                  <w:tcW w:w="384" w:type="pct"/>
                  <w:vMerge w:val="restart"/>
                  <w:vAlign w:val="center"/>
                </w:tcPr>
                <w:p w14:paraId="1047B060">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c>
                <w:tcPr>
                  <w:tcW w:w="448" w:type="pct"/>
                  <w:vAlign w:val="center"/>
                </w:tcPr>
                <w:p w14:paraId="7BFC2DC8">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c>
                <w:tcPr>
                  <w:tcW w:w="447" w:type="pct"/>
                  <w:vAlign w:val="center"/>
                </w:tcPr>
                <w:p w14:paraId="4ED2FA29">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r>
            <w:tr w14:paraId="6DE415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320" w:type="pct"/>
                  <w:vMerge w:val="continue"/>
                  <w:vAlign w:val="center"/>
                </w:tcPr>
                <w:p w14:paraId="357742F7">
                  <w:pPr>
                    <w:pStyle w:val="73"/>
                    <w:adjustRightInd w:val="0"/>
                    <w:snapToGrid w:val="0"/>
                    <w:rPr>
                      <w:rFonts w:cs="Times New Roman"/>
                      <w:color w:val="000000" w:themeColor="text1"/>
                      <w:sz w:val="24"/>
                      <w:szCs w:val="24"/>
                      <w14:textFill>
                        <w14:solidFill>
                          <w14:schemeClr w14:val="tx1"/>
                        </w14:solidFill>
                      </w14:textFill>
                    </w:rPr>
                  </w:pPr>
                </w:p>
              </w:tc>
              <w:tc>
                <w:tcPr>
                  <w:tcW w:w="591" w:type="pct"/>
                  <w:vAlign w:val="center"/>
                </w:tcPr>
                <w:p w14:paraId="59B24202">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NH</w:t>
                  </w:r>
                  <w:r>
                    <w:rPr>
                      <w:rFonts w:cs="Times New Roman"/>
                      <w:color w:val="000000" w:themeColor="text1"/>
                      <w:sz w:val="24"/>
                      <w:szCs w:val="24"/>
                      <w:vertAlign w:val="subscript"/>
                      <w14:textFill>
                        <w14:solidFill>
                          <w14:schemeClr w14:val="tx1"/>
                        </w14:solidFill>
                      </w14:textFill>
                    </w:rPr>
                    <w:t>3</w:t>
                  </w:r>
                  <w:r>
                    <w:rPr>
                      <w:rFonts w:cs="Times New Roman"/>
                      <w:color w:val="000000" w:themeColor="text1"/>
                      <w:sz w:val="24"/>
                      <w:szCs w:val="24"/>
                      <w14:textFill>
                        <w14:solidFill>
                          <w14:schemeClr w14:val="tx1"/>
                        </w14:solidFill>
                      </w14:textFill>
                    </w:rPr>
                    <w:t>-N</w:t>
                  </w:r>
                </w:p>
              </w:tc>
              <w:tc>
                <w:tcPr>
                  <w:tcW w:w="326" w:type="pct"/>
                  <w:vMerge w:val="continue"/>
                  <w:vAlign w:val="center"/>
                </w:tcPr>
                <w:p w14:paraId="1EF7065C">
                  <w:pPr>
                    <w:pStyle w:val="73"/>
                    <w:adjustRightInd w:val="0"/>
                    <w:snapToGrid w:val="0"/>
                    <w:rPr>
                      <w:rFonts w:cs="Times New Roman"/>
                      <w:color w:val="000000" w:themeColor="text1"/>
                      <w:sz w:val="24"/>
                      <w:szCs w:val="24"/>
                      <w14:textFill>
                        <w14:solidFill>
                          <w14:schemeClr w14:val="tx1"/>
                        </w14:solidFill>
                      </w14:textFill>
                    </w:rPr>
                  </w:pPr>
                </w:p>
              </w:tc>
              <w:tc>
                <w:tcPr>
                  <w:tcW w:w="417" w:type="pct"/>
                  <w:vMerge w:val="continue"/>
                  <w:vAlign w:val="center"/>
                </w:tcPr>
                <w:p w14:paraId="67D48B5E">
                  <w:pPr>
                    <w:pStyle w:val="73"/>
                    <w:adjustRightInd w:val="0"/>
                    <w:snapToGrid w:val="0"/>
                    <w:rPr>
                      <w:rFonts w:cs="Times New Roman"/>
                      <w:color w:val="000000" w:themeColor="text1"/>
                      <w:sz w:val="24"/>
                      <w:szCs w:val="24"/>
                      <w14:textFill>
                        <w14:solidFill>
                          <w14:schemeClr w14:val="tx1"/>
                        </w14:solidFill>
                      </w14:textFill>
                    </w:rPr>
                  </w:pPr>
                </w:p>
              </w:tc>
              <w:tc>
                <w:tcPr>
                  <w:tcW w:w="454" w:type="pct"/>
                  <w:vAlign w:val="center"/>
                </w:tcPr>
                <w:p w14:paraId="1C06A3BC">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25</w:t>
                  </w:r>
                </w:p>
              </w:tc>
              <w:tc>
                <w:tcPr>
                  <w:tcW w:w="720" w:type="pct"/>
                  <w:vAlign w:val="center"/>
                </w:tcPr>
                <w:p w14:paraId="2C00CD19">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0.004</w:t>
                  </w:r>
                </w:p>
              </w:tc>
              <w:tc>
                <w:tcPr>
                  <w:tcW w:w="227" w:type="pct"/>
                  <w:vMerge w:val="continue"/>
                  <w:vAlign w:val="center"/>
                </w:tcPr>
                <w:p w14:paraId="67DD6E43">
                  <w:pPr>
                    <w:pStyle w:val="73"/>
                    <w:adjustRightInd w:val="0"/>
                    <w:snapToGrid w:val="0"/>
                    <w:rPr>
                      <w:rFonts w:cs="Times New Roman"/>
                      <w:color w:val="000000" w:themeColor="text1"/>
                      <w:sz w:val="24"/>
                      <w:szCs w:val="24"/>
                      <w14:textFill>
                        <w14:solidFill>
                          <w14:schemeClr w14:val="tx1"/>
                        </w14:solidFill>
                      </w14:textFill>
                    </w:rPr>
                  </w:pPr>
                </w:p>
              </w:tc>
              <w:tc>
                <w:tcPr>
                  <w:tcW w:w="273" w:type="pct"/>
                  <w:vMerge w:val="continue"/>
                  <w:vAlign w:val="center"/>
                </w:tcPr>
                <w:p w14:paraId="5E0763B5">
                  <w:pPr>
                    <w:pStyle w:val="73"/>
                    <w:adjustRightInd w:val="0"/>
                    <w:snapToGrid w:val="0"/>
                    <w:rPr>
                      <w:rFonts w:cs="Times New Roman"/>
                      <w:color w:val="000000" w:themeColor="text1"/>
                      <w:sz w:val="24"/>
                      <w:szCs w:val="24"/>
                      <w14:textFill>
                        <w14:solidFill>
                          <w14:schemeClr w14:val="tx1"/>
                        </w14:solidFill>
                      </w14:textFill>
                    </w:rPr>
                  </w:pPr>
                </w:p>
              </w:tc>
              <w:tc>
                <w:tcPr>
                  <w:tcW w:w="387" w:type="pct"/>
                  <w:vMerge w:val="continue"/>
                  <w:vAlign w:val="center"/>
                </w:tcPr>
                <w:p w14:paraId="396DCCA7">
                  <w:pPr>
                    <w:adjustRightInd w:val="0"/>
                    <w:snapToGrid w:val="0"/>
                    <w:jc w:val="center"/>
                    <w:rPr>
                      <w:rFonts w:eastAsia="宋体"/>
                      <w:color w:val="000000" w:themeColor="text1"/>
                      <w:sz w:val="24"/>
                      <w14:textFill>
                        <w14:solidFill>
                          <w14:schemeClr w14:val="tx1"/>
                        </w14:solidFill>
                      </w14:textFill>
                    </w:rPr>
                  </w:pPr>
                </w:p>
              </w:tc>
              <w:tc>
                <w:tcPr>
                  <w:tcW w:w="384" w:type="pct"/>
                  <w:vMerge w:val="continue"/>
                  <w:vAlign w:val="center"/>
                </w:tcPr>
                <w:p w14:paraId="07A82917">
                  <w:pPr>
                    <w:pStyle w:val="73"/>
                    <w:adjustRightInd w:val="0"/>
                    <w:snapToGrid w:val="0"/>
                    <w:rPr>
                      <w:rFonts w:cs="Times New Roman"/>
                      <w:color w:val="000000" w:themeColor="text1"/>
                      <w:sz w:val="24"/>
                      <w:szCs w:val="24"/>
                      <w14:textFill>
                        <w14:solidFill>
                          <w14:schemeClr w14:val="tx1"/>
                        </w14:solidFill>
                      </w14:textFill>
                    </w:rPr>
                  </w:pPr>
                </w:p>
              </w:tc>
              <w:tc>
                <w:tcPr>
                  <w:tcW w:w="448" w:type="pct"/>
                  <w:vAlign w:val="center"/>
                </w:tcPr>
                <w:p w14:paraId="032CC32D">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c>
                <w:tcPr>
                  <w:tcW w:w="447" w:type="pct"/>
                  <w:vAlign w:val="center"/>
                </w:tcPr>
                <w:p w14:paraId="138B0D2D">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r>
            <w:tr w14:paraId="51CEB3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320" w:type="pct"/>
                  <w:vMerge w:val="continue"/>
                  <w:vAlign w:val="center"/>
                </w:tcPr>
                <w:p w14:paraId="498CEFF7">
                  <w:pPr>
                    <w:pStyle w:val="73"/>
                    <w:adjustRightInd w:val="0"/>
                    <w:snapToGrid w:val="0"/>
                    <w:rPr>
                      <w:rFonts w:cs="Times New Roman"/>
                      <w:color w:val="000000" w:themeColor="text1"/>
                      <w:sz w:val="24"/>
                      <w:szCs w:val="24"/>
                      <w14:textFill>
                        <w14:solidFill>
                          <w14:schemeClr w14:val="tx1"/>
                        </w14:solidFill>
                      </w14:textFill>
                    </w:rPr>
                  </w:pPr>
                </w:p>
              </w:tc>
              <w:tc>
                <w:tcPr>
                  <w:tcW w:w="591" w:type="pct"/>
                  <w:vAlign w:val="center"/>
                </w:tcPr>
                <w:p w14:paraId="77B2BE6D">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BOD</w:t>
                  </w:r>
                  <w:r>
                    <w:rPr>
                      <w:rFonts w:cs="Times New Roman"/>
                      <w:color w:val="000000" w:themeColor="text1"/>
                      <w:sz w:val="24"/>
                      <w:szCs w:val="24"/>
                      <w:vertAlign w:val="subscript"/>
                      <w14:textFill>
                        <w14:solidFill>
                          <w14:schemeClr w14:val="tx1"/>
                        </w14:solidFill>
                      </w14:textFill>
                    </w:rPr>
                    <w:t>5</w:t>
                  </w:r>
                </w:p>
              </w:tc>
              <w:tc>
                <w:tcPr>
                  <w:tcW w:w="326" w:type="pct"/>
                  <w:vMerge w:val="continue"/>
                  <w:vAlign w:val="center"/>
                </w:tcPr>
                <w:p w14:paraId="400C8B38">
                  <w:pPr>
                    <w:pStyle w:val="73"/>
                    <w:adjustRightInd w:val="0"/>
                    <w:snapToGrid w:val="0"/>
                    <w:rPr>
                      <w:rFonts w:cs="Times New Roman"/>
                      <w:color w:val="000000" w:themeColor="text1"/>
                      <w:sz w:val="24"/>
                      <w:szCs w:val="24"/>
                      <w14:textFill>
                        <w14:solidFill>
                          <w14:schemeClr w14:val="tx1"/>
                        </w14:solidFill>
                      </w14:textFill>
                    </w:rPr>
                  </w:pPr>
                </w:p>
              </w:tc>
              <w:tc>
                <w:tcPr>
                  <w:tcW w:w="417" w:type="pct"/>
                  <w:vMerge w:val="continue"/>
                  <w:vAlign w:val="center"/>
                </w:tcPr>
                <w:p w14:paraId="13ABF437">
                  <w:pPr>
                    <w:pStyle w:val="73"/>
                    <w:adjustRightInd w:val="0"/>
                    <w:snapToGrid w:val="0"/>
                    <w:rPr>
                      <w:rFonts w:cs="Times New Roman"/>
                      <w:color w:val="000000" w:themeColor="text1"/>
                      <w:sz w:val="24"/>
                      <w:szCs w:val="24"/>
                      <w14:textFill>
                        <w14:solidFill>
                          <w14:schemeClr w14:val="tx1"/>
                        </w14:solidFill>
                      </w14:textFill>
                    </w:rPr>
                  </w:pPr>
                </w:p>
              </w:tc>
              <w:tc>
                <w:tcPr>
                  <w:tcW w:w="454" w:type="pct"/>
                  <w:vAlign w:val="center"/>
                </w:tcPr>
                <w:p w14:paraId="22545E3D">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200</w:t>
                  </w:r>
                </w:p>
              </w:tc>
              <w:tc>
                <w:tcPr>
                  <w:tcW w:w="720" w:type="pct"/>
                  <w:vAlign w:val="center"/>
                </w:tcPr>
                <w:p w14:paraId="531ECE2C">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0.031</w:t>
                  </w:r>
                </w:p>
              </w:tc>
              <w:tc>
                <w:tcPr>
                  <w:tcW w:w="227" w:type="pct"/>
                  <w:vMerge w:val="continue"/>
                  <w:vAlign w:val="center"/>
                </w:tcPr>
                <w:p w14:paraId="2879DA9D">
                  <w:pPr>
                    <w:pStyle w:val="73"/>
                    <w:adjustRightInd w:val="0"/>
                    <w:snapToGrid w:val="0"/>
                    <w:rPr>
                      <w:rFonts w:cs="Times New Roman"/>
                      <w:color w:val="000000" w:themeColor="text1"/>
                      <w:sz w:val="24"/>
                      <w:szCs w:val="24"/>
                      <w14:textFill>
                        <w14:solidFill>
                          <w14:schemeClr w14:val="tx1"/>
                        </w14:solidFill>
                      </w14:textFill>
                    </w:rPr>
                  </w:pPr>
                </w:p>
              </w:tc>
              <w:tc>
                <w:tcPr>
                  <w:tcW w:w="273" w:type="pct"/>
                  <w:vMerge w:val="continue"/>
                  <w:vAlign w:val="center"/>
                </w:tcPr>
                <w:p w14:paraId="24475B10">
                  <w:pPr>
                    <w:pStyle w:val="73"/>
                    <w:adjustRightInd w:val="0"/>
                    <w:snapToGrid w:val="0"/>
                    <w:rPr>
                      <w:rFonts w:cs="Times New Roman"/>
                      <w:color w:val="000000" w:themeColor="text1"/>
                      <w:sz w:val="24"/>
                      <w:szCs w:val="24"/>
                      <w14:textFill>
                        <w14:solidFill>
                          <w14:schemeClr w14:val="tx1"/>
                        </w14:solidFill>
                      </w14:textFill>
                    </w:rPr>
                  </w:pPr>
                </w:p>
              </w:tc>
              <w:tc>
                <w:tcPr>
                  <w:tcW w:w="387" w:type="pct"/>
                  <w:vMerge w:val="continue"/>
                  <w:vAlign w:val="center"/>
                </w:tcPr>
                <w:p w14:paraId="37BC2A42">
                  <w:pPr>
                    <w:adjustRightInd w:val="0"/>
                    <w:snapToGrid w:val="0"/>
                    <w:jc w:val="center"/>
                    <w:rPr>
                      <w:rFonts w:eastAsia="宋体"/>
                      <w:color w:val="000000" w:themeColor="text1"/>
                      <w:sz w:val="24"/>
                      <w14:textFill>
                        <w14:solidFill>
                          <w14:schemeClr w14:val="tx1"/>
                        </w14:solidFill>
                      </w14:textFill>
                    </w:rPr>
                  </w:pPr>
                </w:p>
              </w:tc>
              <w:tc>
                <w:tcPr>
                  <w:tcW w:w="384" w:type="pct"/>
                  <w:vMerge w:val="continue"/>
                  <w:vAlign w:val="center"/>
                </w:tcPr>
                <w:p w14:paraId="165A5B24">
                  <w:pPr>
                    <w:pStyle w:val="73"/>
                    <w:adjustRightInd w:val="0"/>
                    <w:snapToGrid w:val="0"/>
                    <w:rPr>
                      <w:rFonts w:cs="Times New Roman"/>
                      <w:color w:val="000000" w:themeColor="text1"/>
                      <w:sz w:val="24"/>
                      <w:szCs w:val="24"/>
                      <w14:textFill>
                        <w14:solidFill>
                          <w14:schemeClr w14:val="tx1"/>
                        </w14:solidFill>
                      </w14:textFill>
                    </w:rPr>
                  </w:pPr>
                </w:p>
              </w:tc>
              <w:tc>
                <w:tcPr>
                  <w:tcW w:w="448" w:type="pct"/>
                  <w:vAlign w:val="center"/>
                </w:tcPr>
                <w:p w14:paraId="3C3AC375">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c>
                <w:tcPr>
                  <w:tcW w:w="447" w:type="pct"/>
                  <w:vAlign w:val="center"/>
                </w:tcPr>
                <w:p w14:paraId="72B7805C">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r>
            <w:tr w14:paraId="05DE4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320" w:type="pct"/>
                  <w:vMerge w:val="continue"/>
                  <w:vAlign w:val="center"/>
                </w:tcPr>
                <w:p w14:paraId="13E85341">
                  <w:pPr>
                    <w:pStyle w:val="73"/>
                    <w:adjustRightInd w:val="0"/>
                    <w:snapToGrid w:val="0"/>
                    <w:rPr>
                      <w:rFonts w:cs="Times New Roman"/>
                      <w:color w:val="000000" w:themeColor="text1"/>
                      <w:sz w:val="24"/>
                      <w:szCs w:val="24"/>
                      <w14:textFill>
                        <w14:solidFill>
                          <w14:schemeClr w14:val="tx1"/>
                        </w14:solidFill>
                      </w14:textFill>
                    </w:rPr>
                  </w:pPr>
                </w:p>
              </w:tc>
              <w:tc>
                <w:tcPr>
                  <w:tcW w:w="591" w:type="pct"/>
                  <w:vAlign w:val="center"/>
                </w:tcPr>
                <w:p w14:paraId="3487D726">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SS</w:t>
                  </w:r>
                </w:p>
              </w:tc>
              <w:tc>
                <w:tcPr>
                  <w:tcW w:w="326" w:type="pct"/>
                  <w:vMerge w:val="continue"/>
                  <w:vAlign w:val="center"/>
                </w:tcPr>
                <w:p w14:paraId="289BC6A8">
                  <w:pPr>
                    <w:pStyle w:val="73"/>
                    <w:adjustRightInd w:val="0"/>
                    <w:snapToGrid w:val="0"/>
                    <w:rPr>
                      <w:rFonts w:cs="Times New Roman"/>
                      <w:color w:val="000000" w:themeColor="text1"/>
                      <w:sz w:val="24"/>
                      <w:szCs w:val="24"/>
                      <w14:textFill>
                        <w14:solidFill>
                          <w14:schemeClr w14:val="tx1"/>
                        </w14:solidFill>
                      </w14:textFill>
                    </w:rPr>
                  </w:pPr>
                </w:p>
              </w:tc>
              <w:tc>
                <w:tcPr>
                  <w:tcW w:w="417" w:type="pct"/>
                  <w:vMerge w:val="continue"/>
                  <w:vAlign w:val="center"/>
                </w:tcPr>
                <w:p w14:paraId="182EC39C">
                  <w:pPr>
                    <w:pStyle w:val="73"/>
                    <w:adjustRightInd w:val="0"/>
                    <w:snapToGrid w:val="0"/>
                    <w:rPr>
                      <w:rFonts w:cs="Times New Roman"/>
                      <w:color w:val="000000" w:themeColor="text1"/>
                      <w:sz w:val="24"/>
                      <w:szCs w:val="24"/>
                      <w14:textFill>
                        <w14:solidFill>
                          <w14:schemeClr w14:val="tx1"/>
                        </w14:solidFill>
                      </w14:textFill>
                    </w:rPr>
                  </w:pPr>
                </w:p>
              </w:tc>
              <w:tc>
                <w:tcPr>
                  <w:tcW w:w="454" w:type="pct"/>
                  <w:vAlign w:val="center"/>
                </w:tcPr>
                <w:p w14:paraId="742E4AC1">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200</w:t>
                  </w:r>
                </w:p>
              </w:tc>
              <w:tc>
                <w:tcPr>
                  <w:tcW w:w="720" w:type="pct"/>
                  <w:vAlign w:val="center"/>
                </w:tcPr>
                <w:p w14:paraId="42F6A3B2">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0.031</w:t>
                  </w:r>
                </w:p>
              </w:tc>
              <w:tc>
                <w:tcPr>
                  <w:tcW w:w="227" w:type="pct"/>
                  <w:vMerge w:val="continue"/>
                  <w:vAlign w:val="center"/>
                </w:tcPr>
                <w:p w14:paraId="20F5BAC5">
                  <w:pPr>
                    <w:pStyle w:val="73"/>
                    <w:adjustRightInd w:val="0"/>
                    <w:snapToGrid w:val="0"/>
                    <w:rPr>
                      <w:rFonts w:cs="Times New Roman"/>
                      <w:color w:val="000000" w:themeColor="text1"/>
                      <w:sz w:val="24"/>
                      <w:szCs w:val="24"/>
                      <w14:textFill>
                        <w14:solidFill>
                          <w14:schemeClr w14:val="tx1"/>
                        </w14:solidFill>
                      </w14:textFill>
                    </w:rPr>
                  </w:pPr>
                </w:p>
              </w:tc>
              <w:tc>
                <w:tcPr>
                  <w:tcW w:w="273" w:type="pct"/>
                  <w:vMerge w:val="continue"/>
                  <w:vAlign w:val="center"/>
                </w:tcPr>
                <w:p w14:paraId="0393BA0F">
                  <w:pPr>
                    <w:pStyle w:val="73"/>
                    <w:adjustRightInd w:val="0"/>
                    <w:snapToGrid w:val="0"/>
                    <w:rPr>
                      <w:rFonts w:cs="Times New Roman"/>
                      <w:color w:val="000000" w:themeColor="text1"/>
                      <w:sz w:val="24"/>
                      <w:szCs w:val="24"/>
                      <w14:textFill>
                        <w14:solidFill>
                          <w14:schemeClr w14:val="tx1"/>
                        </w14:solidFill>
                      </w14:textFill>
                    </w:rPr>
                  </w:pPr>
                </w:p>
              </w:tc>
              <w:tc>
                <w:tcPr>
                  <w:tcW w:w="387" w:type="pct"/>
                  <w:vMerge w:val="continue"/>
                  <w:vAlign w:val="center"/>
                </w:tcPr>
                <w:p w14:paraId="052C7D09">
                  <w:pPr>
                    <w:adjustRightInd w:val="0"/>
                    <w:snapToGrid w:val="0"/>
                    <w:jc w:val="center"/>
                    <w:rPr>
                      <w:rFonts w:eastAsia="宋体"/>
                      <w:color w:val="000000" w:themeColor="text1"/>
                      <w:sz w:val="24"/>
                      <w14:textFill>
                        <w14:solidFill>
                          <w14:schemeClr w14:val="tx1"/>
                        </w14:solidFill>
                      </w14:textFill>
                    </w:rPr>
                  </w:pPr>
                </w:p>
              </w:tc>
              <w:tc>
                <w:tcPr>
                  <w:tcW w:w="384" w:type="pct"/>
                  <w:vMerge w:val="continue"/>
                  <w:vAlign w:val="center"/>
                </w:tcPr>
                <w:p w14:paraId="10D71AF8">
                  <w:pPr>
                    <w:pStyle w:val="73"/>
                    <w:adjustRightInd w:val="0"/>
                    <w:snapToGrid w:val="0"/>
                    <w:rPr>
                      <w:rFonts w:cs="Times New Roman"/>
                      <w:color w:val="000000" w:themeColor="text1"/>
                      <w:sz w:val="24"/>
                      <w:szCs w:val="24"/>
                      <w14:textFill>
                        <w14:solidFill>
                          <w14:schemeClr w14:val="tx1"/>
                        </w14:solidFill>
                      </w14:textFill>
                    </w:rPr>
                  </w:pPr>
                </w:p>
              </w:tc>
              <w:tc>
                <w:tcPr>
                  <w:tcW w:w="448" w:type="pct"/>
                  <w:vAlign w:val="center"/>
                </w:tcPr>
                <w:p w14:paraId="36B76DB0">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c>
                <w:tcPr>
                  <w:tcW w:w="447" w:type="pct"/>
                  <w:vAlign w:val="center"/>
                </w:tcPr>
                <w:p w14:paraId="7AF6BFF0">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0</w:t>
                  </w:r>
                </w:p>
              </w:tc>
            </w:tr>
            <w:bookmarkEnd w:id="43"/>
          </w:tbl>
          <w:p w14:paraId="22B61B86">
            <w:pPr>
              <w:adjustRightInd w:val="0"/>
              <w:snapToGrid w:val="0"/>
              <w:spacing w:line="500" w:lineRule="exact"/>
              <w:ind w:firstLine="480" w:firstLineChars="200"/>
              <w:textAlignment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（2）环境影响和保护措施</w:t>
            </w:r>
          </w:p>
          <w:p w14:paraId="6A1DA2BB">
            <w:pPr>
              <w:pStyle w:val="78"/>
              <w:spacing w:line="500" w:lineRule="exact"/>
              <w:rPr>
                <w:rFonts w:eastAsia="宋体"/>
                <w:bCs/>
                <w:color w:val="000000" w:themeColor="text1"/>
                <w14:textFill>
                  <w14:solidFill>
                    <w14:schemeClr w14:val="tx1"/>
                  </w14:solidFill>
                </w14:textFill>
              </w:rPr>
            </w:pPr>
            <w:r>
              <w:rPr>
                <w:rFonts w:eastAsia="宋体"/>
                <w:color w:val="000000" w:themeColor="text1"/>
                <w14:textFill>
                  <w14:solidFill>
                    <w14:schemeClr w14:val="tx1"/>
                  </w14:solidFill>
                </w14:textFill>
              </w:rPr>
              <w:t>本项目建成后，无生产废水产生。生活污水排入防渗旱厕，定期清掏。对地表水环境影响较小。</w:t>
            </w:r>
          </w:p>
          <w:p w14:paraId="6B3AA349">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三、运营期声环境保护措施</w:t>
            </w:r>
          </w:p>
          <w:p w14:paraId="3AF6F741">
            <w:pPr>
              <w:pStyle w:val="78"/>
              <w:adjustRightInd w:val="0"/>
              <w:snapToGrid w:val="0"/>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（1）噪声影响分析</w:t>
            </w:r>
          </w:p>
          <w:p w14:paraId="6F01B7AD">
            <w:pPr>
              <w:pStyle w:val="78"/>
              <w:adjustRightInd w:val="0"/>
              <w:snapToGrid w:val="0"/>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本项目建成后，选用低噪声设备，通过减振、隔声、降噪、加强管理和设备合理布局等措施，厂界噪声满足《工业企业厂界环境噪声排放标准》（GB12348-2008）中2类标准要求。</w:t>
            </w:r>
          </w:p>
          <w:p w14:paraId="476BA00B">
            <w:pPr>
              <w:pStyle w:val="78"/>
              <w:adjustRightInd w:val="0"/>
              <w:snapToGrid w:val="0"/>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根据《环境影响评价技术导则 声环境》（HJ2.4-2021）源强获取方法中对于拟建项目噪声源强可通过声源类比测量或引用有效资料来确定，本项目引用《污染源源强核算技术指南 化肥工业》（HJ994-2018）附录B，本项目设备噪声在80～85dB（A）左右。本项目主要设备噪声见下表。</w:t>
            </w:r>
          </w:p>
          <w:p w14:paraId="79621320">
            <w:pPr>
              <w:pStyle w:val="88"/>
              <w:keepNext/>
              <w:keepLines w:val="0"/>
              <w:pageBreakBefore w:val="0"/>
              <w:widowControl/>
              <w:kinsoku/>
              <w:wordWrap w:val="0"/>
              <w:overflowPunct/>
              <w:topLinePunct w:val="0"/>
              <w:autoSpaceDE/>
              <w:autoSpaceDN/>
              <w:bidi w:val="0"/>
              <w:adjustRightInd w:val="0"/>
              <w:snapToGrid w:val="0"/>
              <w:spacing w:line="240" w:lineRule="auto"/>
              <w:textAlignment w:val="auto"/>
              <w:rPr>
                <w:rFonts w:ascii="Times New Roman" w:hAnsi="Times New Roman" w:eastAsia="宋体" w:cs="Times New Roman"/>
                <w:b/>
                <w:bCs/>
                <w:color w:val="000000" w:themeColor="text1"/>
                <w:szCs w:val="24"/>
                <w14:textFill>
                  <w14:solidFill>
                    <w14:schemeClr w14:val="tx1"/>
                  </w14:solidFill>
                </w14:textFill>
              </w:rPr>
            </w:pPr>
            <w:r>
              <w:rPr>
                <w:rFonts w:ascii="Times New Roman" w:hAnsi="Times New Roman" w:eastAsia="宋体" w:cs="Times New Roman"/>
                <w:b/>
                <w:bCs/>
                <w:color w:val="000000" w:themeColor="text1"/>
                <w:szCs w:val="24"/>
                <w14:textFill>
                  <w14:solidFill>
                    <w14:schemeClr w14:val="tx1"/>
                  </w14:solidFill>
                </w14:textFill>
              </w:rPr>
              <w:t>表4-5 工业企业噪声源强调查清单（室内声源）单位：dB（A）</w:t>
            </w:r>
          </w:p>
          <w:tbl>
            <w:tblPr>
              <w:tblStyle w:val="34"/>
              <w:tblW w:w="784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9"/>
              <w:gridCol w:w="513"/>
              <w:gridCol w:w="537"/>
              <w:gridCol w:w="484"/>
              <w:gridCol w:w="620"/>
              <w:gridCol w:w="707"/>
              <w:gridCol w:w="416"/>
              <w:gridCol w:w="416"/>
              <w:gridCol w:w="418"/>
              <w:gridCol w:w="473"/>
              <w:gridCol w:w="471"/>
              <w:gridCol w:w="384"/>
              <w:gridCol w:w="737"/>
              <w:gridCol w:w="625"/>
              <w:gridCol w:w="627"/>
            </w:tblGrid>
            <w:tr w14:paraId="0CA7D7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19" w:type="dxa"/>
                  <w:vMerge w:val="restart"/>
                  <w:tcBorders>
                    <w:tl2br w:val="nil"/>
                    <w:tr2bl w:val="nil"/>
                  </w:tcBorders>
                  <w:vAlign w:val="center"/>
                </w:tcPr>
                <w:p w14:paraId="21964BF2">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513" w:type="dxa"/>
                  <w:vMerge w:val="restart"/>
                  <w:tcBorders>
                    <w:tl2br w:val="nil"/>
                    <w:tr2bl w:val="nil"/>
                  </w:tcBorders>
                  <w:vAlign w:val="center"/>
                </w:tcPr>
                <w:p w14:paraId="4E0CB404">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建筑物名称</w:t>
                  </w:r>
                </w:p>
              </w:tc>
              <w:tc>
                <w:tcPr>
                  <w:tcW w:w="537" w:type="dxa"/>
                  <w:vMerge w:val="restart"/>
                  <w:tcBorders>
                    <w:tl2br w:val="nil"/>
                    <w:tr2bl w:val="nil"/>
                  </w:tcBorders>
                  <w:vAlign w:val="center"/>
                </w:tcPr>
                <w:p w14:paraId="41C95A0A">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声源名称</w:t>
                  </w:r>
                </w:p>
              </w:tc>
              <w:tc>
                <w:tcPr>
                  <w:tcW w:w="484" w:type="dxa"/>
                  <w:vMerge w:val="restart"/>
                  <w:tcBorders>
                    <w:tl2br w:val="nil"/>
                    <w:tr2bl w:val="nil"/>
                  </w:tcBorders>
                  <w:vAlign w:val="center"/>
                </w:tcPr>
                <w:p w14:paraId="71EAF8AA">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型号</w:t>
                  </w:r>
                </w:p>
              </w:tc>
              <w:tc>
                <w:tcPr>
                  <w:tcW w:w="620" w:type="dxa"/>
                  <w:vMerge w:val="restart"/>
                  <w:tcBorders>
                    <w:tl2br w:val="nil"/>
                    <w:tr2bl w:val="nil"/>
                  </w:tcBorders>
                  <w:vAlign w:val="center"/>
                </w:tcPr>
                <w:p w14:paraId="131D0E49">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声源源强声功率级/dB（A）</w:t>
                  </w:r>
                </w:p>
              </w:tc>
              <w:tc>
                <w:tcPr>
                  <w:tcW w:w="707" w:type="dxa"/>
                  <w:vMerge w:val="restart"/>
                  <w:tcBorders>
                    <w:tl2br w:val="nil"/>
                    <w:tr2bl w:val="nil"/>
                  </w:tcBorders>
                  <w:vAlign w:val="center"/>
                </w:tcPr>
                <w:p w14:paraId="551874AA">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声源控制措施</w:t>
                  </w:r>
                </w:p>
              </w:tc>
              <w:tc>
                <w:tcPr>
                  <w:tcW w:w="1250" w:type="dxa"/>
                  <w:gridSpan w:val="3"/>
                  <w:vMerge w:val="restart"/>
                  <w:tcBorders>
                    <w:tl2br w:val="nil"/>
                    <w:tr2bl w:val="nil"/>
                  </w:tcBorders>
                  <w:vAlign w:val="center"/>
                </w:tcPr>
                <w:p w14:paraId="092AC561">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空间相对位置/m</w:t>
                  </w:r>
                </w:p>
              </w:tc>
              <w:tc>
                <w:tcPr>
                  <w:tcW w:w="473" w:type="dxa"/>
                  <w:vMerge w:val="restart"/>
                  <w:tcBorders>
                    <w:tl2br w:val="nil"/>
                    <w:tr2bl w:val="nil"/>
                  </w:tcBorders>
                  <w:vAlign w:val="center"/>
                </w:tcPr>
                <w:p w14:paraId="7F0384B0">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距室内边界距离/m</w:t>
                  </w:r>
                </w:p>
              </w:tc>
              <w:tc>
                <w:tcPr>
                  <w:tcW w:w="471" w:type="dxa"/>
                  <w:vMerge w:val="restart"/>
                  <w:tcBorders>
                    <w:tl2br w:val="nil"/>
                    <w:tr2bl w:val="nil"/>
                  </w:tcBorders>
                  <w:vAlign w:val="center"/>
                </w:tcPr>
                <w:p w14:paraId="5D47CFF9">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室内边界声级/dB（A）</w:t>
                  </w:r>
                </w:p>
              </w:tc>
              <w:tc>
                <w:tcPr>
                  <w:tcW w:w="384" w:type="dxa"/>
                  <w:vMerge w:val="restart"/>
                  <w:tcBorders>
                    <w:tl2br w:val="nil"/>
                    <w:tr2bl w:val="nil"/>
                  </w:tcBorders>
                  <w:vAlign w:val="center"/>
                </w:tcPr>
                <w:p w14:paraId="3039090E">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运行时段</w:t>
                  </w:r>
                </w:p>
              </w:tc>
              <w:tc>
                <w:tcPr>
                  <w:tcW w:w="737" w:type="dxa"/>
                  <w:vMerge w:val="restart"/>
                  <w:tcBorders>
                    <w:tl2br w:val="nil"/>
                    <w:tr2bl w:val="nil"/>
                  </w:tcBorders>
                  <w:vAlign w:val="center"/>
                </w:tcPr>
                <w:p w14:paraId="06148F73">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建筑物插入损失/dB（A）</w:t>
                  </w:r>
                </w:p>
              </w:tc>
              <w:tc>
                <w:tcPr>
                  <w:tcW w:w="1252" w:type="dxa"/>
                  <w:gridSpan w:val="2"/>
                  <w:tcBorders>
                    <w:tl2br w:val="nil"/>
                    <w:tr2bl w:val="nil"/>
                  </w:tcBorders>
                  <w:vAlign w:val="center"/>
                </w:tcPr>
                <w:p w14:paraId="1CD4B74E">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建筑物外噪声</w:t>
                  </w:r>
                </w:p>
              </w:tc>
            </w:tr>
            <w:tr w14:paraId="1D7F2A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19" w:type="dxa"/>
                  <w:vMerge w:val="continue"/>
                  <w:tcBorders>
                    <w:tl2br w:val="nil"/>
                    <w:tr2bl w:val="nil"/>
                  </w:tcBorders>
                  <w:vAlign w:val="center"/>
                </w:tcPr>
                <w:p w14:paraId="45180CEC">
                  <w:pPr>
                    <w:pStyle w:val="39"/>
                    <w:snapToGrid w:val="0"/>
                    <w:textAlignment w:val="auto"/>
                    <w:rPr>
                      <w:rFonts w:eastAsia="宋体"/>
                      <w:color w:val="000000" w:themeColor="text1"/>
                      <w:kern w:val="2"/>
                      <w:sz w:val="21"/>
                      <w:szCs w:val="21"/>
                      <w14:textFill>
                        <w14:solidFill>
                          <w14:schemeClr w14:val="tx1"/>
                        </w14:solidFill>
                      </w14:textFill>
                    </w:rPr>
                  </w:pPr>
                </w:p>
              </w:tc>
              <w:tc>
                <w:tcPr>
                  <w:tcW w:w="513" w:type="dxa"/>
                  <w:vMerge w:val="continue"/>
                  <w:tcBorders>
                    <w:tl2br w:val="nil"/>
                    <w:tr2bl w:val="nil"/>
                  </w:tcBorders>
                  <w:vAlign w:val="center"/>
                </w:tcPr>
                <w:p w14:paraId="526C624D">
                  <w:pPr>
                    <w:pStyle w:val="39"/>
                    <w:snapToGrid w:val="0"/>
                    <w:textAlignment w:val="auto"/>
                    <w:rPr>
                      <w:rFonts w:eastAsia="宋体"/>
                      <w:color w:val="000000" w:themeColor="text1"/>
                      <w:kern w:val="2"/>
                      <w:sz w:val="21"/>
                      <w:szCs w:val="21"/>
                      <w14:textFill>
                        <w14:solidFill>
                          <w14:schemeClr w14:val="tx1"/>
                        </w14:solidFill>
                      </w14:textFill>
                    </w:rPr>
                  </w:pPr>
                </w:p>
              </w:tc>
              <w:tc>
                <w:tcPr>
                  <w:tcW w:w="537" w:type="dxa"/>
                  <w:vMerge w:val="continue"/>
                  <w:tcBorders>
                    <w:tl2br w:val="nil"/>
                    <w:tr2bl w:val="nil"/>
                  </w:tcBorders>
                  <w:vAlign w:val="center"/>
                </w:tcPr>
                <w:p w14:paraId="6EBB25B5">
                  <w:pPr>
                    <w:pStyle w:val="39"/>
                    <w:snapToGrid w:val="0"/>
                    <w:textAlignment w:val="auto"/>
                    <w:rPr>
                      <w:rFonts w:eastAsia="宋体"/>
                      <w:color w:val="000000" w:themeColor="text1"/>
                      <w:kern w:val="2"/>
                      <w:sz w:val="21"/>
                      <w:szCs w:val="21"/>
                      <w14:textFill>
                        <w14:solidFill>
                          <w14:schemeClr w14:val="tx1"/>
                        </w14:solidFill>
                      </w14:textFill>
                    </w:rPr>
                  </w:pPr>
                </w:p>
              </w:tc>
              <w:tc>
                <w:tcPr>
                  <w:tcW w:w="484" w:type="dxa"/>
                  <w:vMerge w:val="continue"/>
                  <w:tcBorders>
                    <w:tl2br w:val="nil"/>
                    <w:tr2bl w:val="nil"/>
                  </w:tcBorders>
                  <w:vAlign w:val="center"/>
                </w:tcPr>
                <w:p w14:paraId="69DAA356">
                  <w:pPr>
                    <w:pStyle w:val="39"/>
                    <w:snapToGrid w:val="0"/>
                    <w:textAlignment w:val="auto"/>
                    <w:rPr>
                      <w:rFonts w:eastAsia="宋体"/>
                      <w:color w:val="000000" w:themeColor="text1"/>
                      <w:kern w:val="2"/>
                      <w:sz w:val="21"/>
                      <w:szCs w:val="21"/>
                      <w14:textFill>
                        <w14:solidFill>
                          <w14:schemeClr w14:val="tx1"/>
                        </w14:solidFill>
                      </w14:textFill>
                    </w:rPr>
                  </w:pPr>
                </w:p>
              </w:tc>
              <w:tc>
                <w:tcPr>
                  <w:tcW w:w="620" w:type="dxa"/>
                  <w:vMerge w:val="continue"/>
                  <w:tcBorders>
                    <w:tl2br w:val="nil"/>
                    <w:tr2bl w:val="nil"/>
                  </w:tcBorders>
                  <w:vAlign w:val="center"/>
                </w:tcPr>
                <w:p w14:paraId="05BCE8EA">
                  <w:pPr>
                    <w:pStyle w:val="39"/>
                    <w:snapToGrid w:val="0"/>
                    <w:textAlignment w:val="auto"/>
                    <w:rPr>
                      <w:rFonts w:eastAsia="宋体"/>
                      <w:color w:val="000000" w:themeColor="text1"/>
                      <w:kern w:val="2"/>
                      <w:sz w:val="21"/>
                      <w:szCs w:val="21"/>
                      <w14:textFill>
                        <w14:solidFill>
                          <w14:schemeClr w14:val="tx1"/>
                        </w14:solidFill>
                      </w14:textFill>
                    </w:rPr>
                  </w:pPr>
                </w:p>
              </w:tc>
              <w:tc>
                <w:tcPr>
                  <w:tcW w:w="707" w:type="dxa"/>
                  <w:vMerge w:val="continue"/>
                  <w:tcBorders>
                    <w:tl2br w:val="nil"/>
                    <w:tr2bl w:val="nil"/>
                  </w:tcBorders>
                  <w:vAlign w:val="center"/>
                </w:tcPr>
                <w:p w14:paraId="139AFCCB">
                  <w:pPr>
                    <w:pStyle w:val="39"/>
                    <w:snapToGrid w:val="0"/>
                    <w:textAlignment w:val="auto"/>
                    <w:rPr>
                      <w:rFonts w:eastAsia="宋体"/>
                      <w:color w:val="000000" w:themeColor="text1"/>
                      <w:kern w:val="2"/>
                      <w:sz w:val="21"/>
                      <w:szCs w:val="21"/>
                      <w14:textFill>
                        <w14:solidFill>
                          <w14:schemeClr w14:val="tx1"/>
                        </w14:solidFill>
                      </w14:textFill>
                    </w:rPr>
                  </w:pPr>
                </w:p>
              </w:tc>
              <w:tc>
                <w:tcPr>
                  <w:tcW w:w="1250" w:type="dxa"/>
                  <w:gridSpan w:val="3"/>
                  <w:vMerge w:val="continue"/>
                  <w:tcBorders>
                    <w:tl2br w:val="nil"/>
                    <w:tr2bl w:val="nil"/>
                  </w:tcBorders>
                  <w:vAlign w:val="center"/>
                </w:tcPr>
                <w:p w14:paraId="5682E692">
                  <w:pPr>
                    <w:pStyle w:val="39"/>
                    <w:snapToGrid w:val="0"/>
                    <w:textAlignment w:val="auto"/>
                    <w:rPr>
                      <w:rFonts w:eastAsia="宋体"/>
                      <w:color w:val="000000" w:themeColor="text1"/>
                      <w:kern w:val="2"/>
                      <w:sz w:val="21"/>
                      <w:szCs w:val="21"/>
                      <w14:textFill>
                        <w14:solidFill>
                          <w14:schemeClr w14:val="tx1"/>
                        </w14:solidFill>
                      </w14:textFill>
                    </w:rPr>
                  </w:pPr>
                </w:p>
              </w:tc>
              <w:tc>
                <w:tcPr>
                  <w:tcW w:w="473" w:type="dxa"/>
                  <w:vMerge w:val="continue"/>
                  <w:tcBorders>
                    <w:tl2br w:val="nil"/>
                    <w:tr2bl w:val="nil"/>
                  </w:tcBorders>
                  <w:vAlign w:val="center"/>
                </w:tcPr>
                <w:p w14:paraId="06F77C92">
                  <w:pPr>
                    <w:pStyle w:val="39"/>
                    <w:snapToGrid w:val="0"/>
                    <w:textAlignment w:val="auto"/>
                    <w:rPr>
                      <w:rFonts w:eastAsia="宋体"/>
                      <w:color w:val="000000" w:themeColor="text1"/>
                      <w:kern w:val="2"/>
                      <w:sz w:val="21"/>
                      <w:szCs w:val="21"/>
                      <w14:textFill>
                        <w14:solidFill>
                          <w14:schemeClr w14:val="tx1"/>
                        </w14:solidFill>
                      </w14:textFill>
                    </w:rPr>
                  </w:pPr>
                </w:p>
              </w:tc>
              <w:tc>
                <w:tcPr>
                  <w:tcW w:w="471" w:type="dxa"/>
                  <w:vMerge w:val="continue"/>
                  <w:tcBorders>
                    <w:tl2br w:val="nil"/>
                    <w:tr2bl w:val="nil"/>
                  </w:tcBorders>
                  <w:vAlign w:val="center"/>
                </w:tcPr>
                <w:p w14:paraId="4E0F4BD3">
                  <w:pPr>
                    <w:pStyle w:val="39"/>
                    <w:snapToGrid w:val="0"/>
                    <w:textAlignment w:val="auto"/>
                    <w:rPr>
                      <w:rFonts w:eastAsia="宋体"/>
                      <w:color w:val="000000" w:themeColor="text1"/>
                      <w:kern w:val="2"/>
                      <w:sz w:val="21"/>
                      <w:szCs w:val="21"/>
                      <w14:textFill>
                        <w14:solidFill>
                          <w14:schemeClr w14:val="tx1"/>
                        </w14:solidFill>
                      </w14:textFill>
                    </w:rPr>
                  </w:pPr>
                </w:p>
              </w:tc>
              <w:tc>
                <w:tcPr>
                  <w:tcW w:w="384" w:type="dxa"/>
                  <w:vMerge w:val="continue"/>
                  <w:tcBorders>
                    <w:tl2br w:val="nil"/>
                    <w:tr2bl w:val="nil"/>
                  </w:tcBorders>
                  <w:vAlign w:val="center"/>
                </w:tcPr>
                <w:p w14:paraId="771F1E61">
                  <w:pPr>
                    <w:pStyle w:val="39"/>
                    <w:snapToGrid w:val="0"/>
                    <w:textAlignment w:val="auto"/>
                    <w:rPr>
                      <w:rFonts w:eastAsia="宋体"/>
                      <w:color w:val="000000" w:themeColor="text1"/>
                      <w:kern w:val="2"/>
                      <w:sz w:val="21"/>
                      <w:szCs w:val="21"/>
                      <w14:textFill>
                        <w14:solidFill>
                          <w14:schemeClr w14:val="tx1"/>
                        </w14:solidFill>
                      </w14:textFill>
                    </w:rPr>
                  </w:pPr>
                </w:p>
              </w:tc>
              <w:tc>
                <w:tcPr>
                  <w:tcW w:w="737" w:type="dxa"/>
                  <w:vMerge w:val="continue"/>
                  <w:tcBorders>
                    <w:tl2br w:val="nil"/>
                    <w:tr2bl w:val="nil"/>
                  </w:tcBorders>
                  <w:vAlign w:val="center"/>
                </w:tcPr>
                <w:p w14:paraId="1E1F9C7C">
                  <w:pPr>
                    <w:pStyle w:val="39"/>
                    <w:snapToGrid w:val="0"/>
                    <w:textAlignment w:val="auto"/>
                    <w:rPr>
                      <w:rFonts w:eastAsia="宋体"/>
                      <w:color w:val="000000" w:themeColor="text1"/>
                      <w:kern w:val="2"/>
                      <w:sz w:val="21"/>
                      <w:szCs w:val="21"/>
                      <w14:textFill>
                        <w14:solidFill>
                          <w14:schemeClr w14:val="tx1"/>
                        </w14:solidFill>
                      </w14:textFill>
                    </w:rPr>
                  </w:pPr>
                </w:p>
              </w:tc>
              <w:tc>
                <w:tcPr>
                  <w:tcW w:w="625" w:type="dxa"/>
                  <w:vMerge w:val="restart"/>
                  <w:tcBorders>
                    <w:tl2br w:val="nil"/>
                    <w:tr2bl w:val="nil"/>
                  </w:tcBorders>
                  <w:vAlign w:val="center"/>
                </w:tcPr>
                <w:p w14:paraId="276EF040">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声压级/dB（A）</w:t>
                  </w:r>
                </w:p>
              </w:tc>
              <w:tc>
                <w:tcPr>
                  <w:tcW w:w="627" w:type="dxa"/>
                  <w:vMerge w:val="restart"/>
                  <w:tcBorders>
                    <w:tl2br w:val="nil"/>
                    <w:tr2bl w:val="nil"/>
                  </w:tcBorders>
                  <w:vAlign w:val="center"/>
                </w:tcPr>
                <w:p w14:paraId="583E3FB2">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建筑物外距离（m）</w:t>
                  </w:r>
                </w:p>
              </w:tc>
            </w:tr>
            <w:tr w14:paraId="6504C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419" w:type="dxa"/>
                  <w:vMerge w:val="continue"/>
                  <w:tcBorders>
                    <w:tl2br w:val="nil"/>
                    <w:tr2bl w:val="nil"/>
                  </w:tcBorders>
                  <w:vAlign w:val="center"/>
                </w:tcPr>
                <w:p w14:paraId="0DE300CE">
                  <w:pPr>
                    <w:pStyle w:val="39"/>
                    <w:snapToGrid w:val="0"/>
                    <w:textAlignment w:val="auto"/>
                    <w:rPr>
                      <w:rFonts w:eastAsia="宋体"/>
                      <w:color w:val="000000" w:themeColor="text1"/>
                      <w:kern w:val="2"/>
                      <w:sz w:val="21"/>
                      <w:szCs w:val="21"/>
                      <w14:textFill>
                        <w14:solidFill>
                          <w14:schemeClr w14:val="tx1"/>
                        </w14:solidFill>
                      </w14:textFill>
                    </w:rPr>
                  </w:pPr>
                </w:p>
              </w:tc>
              <w:tc>
                <w:tcPr>
                  <w:tcW w:w="513" w:type="dxa"/>
                  <w:vMerge w:val="continue"/>
                  <w:tcBorders>
                    <w:tl2br w:val="nil"/>
                    <w:tr2bl w:val="nil"/>
                  </w:tcBorders>
                  <w:vAlign w:val="center"/>
                </w:tcPr>
                <w:p w14:paraId="2821536A">
                  <w:pPr>
                    <w:pStyle w:val="39"/>
                    <w:snapToGrid w:val="0"/>
                    <w:textAlignment w:val="auto"/>
                    <w:rPr>
                      <w:rFonts w:eastAsia="宋体"/>
                      <w:color w:val="000000" w:themeColor="text1"/>
                      <w:kern w:val="2"/>
                      <w:sz w:val="21"/>
                      <w:szCs w:val="21"/>
                      <w14:textFill>
                        <w14:solidFill>
                          <w14:schemeClr w14:val="tx1"/>
                        </w14:solidFill>
                      </w14:textFill>
                    </w:rPr>
                  </w:pPr>
                </w:p>
              </w:tc>
              <w:tc>
                <w:tcPr>
                  <w:tcW w:w="537" w:type="dxa"/>
                  <w:vMerge w:val="continue"/>
                  <w:tcBorders>
                    <w:tl2br w:val="nil"/>
                    <w:tr2bl w:val="nil"/>
                  </w:tcBorders>
                  <w:vAlign w:val="center"/>
                </w:tcPr>
                <w:p w14:paraId="524AA697">
                  <w:pPr>
                    <w:pStyle w:val="39"/>
                    <w:snapToGrid w:val="0"/>
                    <w:textAlignment w:val="auto"/>
                    <w:rPr>
                      <w:rFonts w:eastAsia="宋体"/>
                      <w:color w:val="000000" w:themeColor="text1"/>
                      <w:kern w:val="2"/>
                      <w:sz w:val="21"/>
                      <w:szCs w:val="21"/>
                      <w14:textFill>
                        <w14:solidFill>
                          <w14:schemeClr w14:val="tx1"/>
                        </w14:solidFill>
                      </w14:textFill>
                    </w:rPr>
                  </w:pPr>
                </w:p>
              </w:tc>
              <w:tc>
                <w:tcPr>
                  <w:tcW w:w="484" w:type="dxa"/>
                  <w:vMerge w:val="continue"/>
                  <w:tcBorders>
                    <w:tl2br w:val="nil"/>
                    <w:tr2bl w:val="nil"/>
                  </w:tcBorders>
                  <w:vAlign w:val="center"/>
                </w:tcPr>
                <w:p w14:paraId="718ABC6B">
                  <w:pPr>
                    <w:pStyle w:val="39"/>
                    <w:snapToGrid w:val="0"/>
                    <w:textAlignment w:val="auto"/>
                    <w:rPr>
                      <w:rFonts w:eastAsia="宋体"/>
                      <w:color w:val="000000" w:themeColor="text1"/>
                      <w:kern w:val="2"/>
                      <w:sz w:val="21"/>
                      <w:szCs w:val="21"/>
                      <w14:textFill>
                        <w14:solidFill>
                          <w14:schemeClr w14:val="tx1"/>
                        </w14:solidFill>
                      </w14:textFill>
                    </w:rPr>
                  </w:pPr>
                </w:p>
              </w:tc>
              <w:tc>
                <w:tcPr>
                  <w:tcW w:w="620" w:type="dxa"/>
                  <w:vMerge w:val="continue"/>
                  <w:tcBorders>
                    <w:tl2br w:val="nil"/>
                    <w:tr2bl w:val="nil"/>
                  </w:tcBorders>
                  <w:vAlign w:val="center"/>
                </w:tcPr>
                <w:p w14:paraId="6452A70A">
                  <w:pPr>
                    <w:pStyle w:val="39"/>
                    <w:snapToGrid w:val="0"/>
                    <w:textAlignment w:val="auto"/>
                    <w:rPr>
                      <w:rFonts w:eastAsia="宋体"/>
                      <w:color w:val="000000" w:themeColor="text1"/>
                      <w:kern w:val="2"/>
                      <w:sz w:val="21"/>
                      <w:szCs w:val="21"/>
                      <w14:textFill>
                        <w14:solidFill>
                          <w14:schemeClr w14:val="tx1"/>
                        </w14:solidFill>
                      </w14:textFill>
                    </w:rPr>
                  </w:pPr>
                </w:p>
              </w:tc>
              <w:tc>
                <w:tcPr>
                  <w:tcW w:w="707" w:type="dxa"/>
                  <w:vMerge w:val="continue"/>
                  <w:tcBorders>
                    <w:tl2br w:val="nil"/>
                    <w:tr2bl w:val="nil"/>
                  </w:tcBorders>
                  <w:vAlign w:val="center"/>
                </w:tcPr>
                <w:p w14:paraId="365EF8ED">
                  <w:pPr>
                    <w:pStyle w:val="39"/>
                    <w:snapToGrid w:val="0"/>
                    <w:textAlignment w:val="auto"/>
                    <w:rPr>
                      <w:rFonts w:eastAsia="宋体"/>
                      <w:color w:val="000000" w:themeColor="text1"/>
                      <w:kern w:val="2"/>
                      <w:sz w:val="21"/>
                      <w:szCs w:val="21"/>
                      <w14:textFill>
                        <w14:solidFill>
                          <w14:schemeClr w14:val="tx1"/>
                        </w14:solidFill>
                      </w14:textFill>
                    </w:rPr>
                  </w:pPr>
                </w:p>
              </w:tc>
              <w:tc>
                <w:tcPr>
                  <w:tcW w:w="416" w:type="dxa"/>
                  <w:tcBorders>
                    <w:tl2br w:val="nil"/>
                    <w:tr2bl w:val="nil"/>
                  </w:tcBorders>
                  <w:vAlign w:val="center"/>
                </w:tcPr>
                <w:p w14:paraId="4DF0A0F8">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w:t>
                  </w:r>
                </w:p>
              </w:tc>
              <w:tc>
                <w:tcPr>
                  <w:tcW w:w="416" w:type="dxa"/>
                  <w:tcBorders>
                    <w:tl2br w:val="nil"/>
                    <w:tr2bl w:val="nil"/>
                  </w:tcBorders>
                  <w:vAlign w:val="center"/>
                </w:tcPr>
                <w:p w14:paraId="3BA2DDFB">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Y</w:t>
                  </w:r>
                </w:p>
              </w:tc>
              <w:tc>
                <w:tcPr>
                  <w:tcW w:w="418" w:type="dxa"/>
                  <w:tcBorders>
                    <w:tl2br w:val="nil"/>
                    <w:tr2bl w:val="nil"/>
                  </w:tcBorders>
                  <w:vAlign w:val="center"/>
                </w:tcPr>
                <w:p w14:paraId="6036289A">
                  <w:pPr>
                    <w:pStyle w:val="39"/>
                    <w:snapToGrid w:val="0"/>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Z</w:t>
                  </w:r>
                </w:p>
              </w:tc>
              <w:tc>
                <w:tcPr>
                  <w:tcW w:w="473" w:type="dxa"/>
                  <w:vMerge w:val="continue"/>
                  <w:tcBorders>
                    <w:tl2br w:val="nil"/>
                    <w:tr2bl w:val="nil"/>
                  </w:tcBorders>
                  <w:vAlign w:val="center"/>
                </w:tcPr>
                <w:p w14:paraId="39415389">
                  <w:pPr>
                    <w:pStyle w:val="39"/>
                    <w:snapToGrid w:val="0"/>
                    <w:textAlignment w:val="auto"/>
                    <w:rPr>
                      <w:rFonts w:eastAsia="宋体"/>
                      <w:color w:val="000000" w:themeColor="text1"/>
                      <w:kern w:val="2"/>
                      <w:sz w:val="21"/>
                      <w:szCs w:val="21"/>
                      <w14:textFill>
                        <w14:solidFill>
                          <w14:schemeClr w14:val="tx1"/>
                        </w14:solidFill>
                      </w14:textFill>
                    </w:rPr>
                  </w:pPr>
                </w:p>
              </w:tc>
              <w:tc>
                <w:tcPr>
                  <w:tcW w:w="471" w:type="dxa"/>
                  <w:vMerge w:val="continue"/>
                  <w:tcBorders>
                    <w:tl2br w:val="nil"/>
                    <w:tr2bl w:val="nil"/>
                  </w:tcBorders>
                  <w:vAlign w:val="center"/>
                </w:tcPr>
                <w:p w14:paraId="1E68A80D">
                  <w:pPr>
                    <w:pStyle w:val="39"/>
                    <w:snapToGrid w:val="0"/>
                    <w:textAlignment w:val="auto"/>
                    <w:rPr>
                      <w:rFonts w:eastAsia="宋体"/>
                      <w:color w:val="000000" w:themeColor="text1"/>
                      <w:kern w:val="2"/>
                      <w:sz w:val="21"/>
                      <w:szCs w:val="21"/>
                      <w14:textFill>
                        <w14:solidFill>
                          <w14:schemeClr w14:val="tx1"/>
                        </w14:solidFill>
                      </w14:textFill>
                    </w:rPr>
                  </w:pPr>
                </w:p>
              </w:tc>
              <w:tc>
                <w:tcPr>
                  <w:tcW w:w="384" w:type="dxa"/>
                  <w:vMerge w:val="continue"/>
                  <w:tcBorders>
                    <w:tl2br w:val="nil"/>
                    <w:tr2bl w:val="nil"/>
                  </w:tcBorders>
                  <w:vAlign w:val="center"/>
                </w:tcPr>
                <w:p w14:paraId="4DC9837E">
                  <w:pPr>
                    <w:pStyle w:val="39"/>
                    <w:snapToGrid w:val="0"/>
                    <w:textAlignment w:val="auto"/>
                    <w:rPr>
                      <w:rFonts w:eastAsia="宋体"/>
                      <w:color w:val="000000" w:themeColor="text1"/>
                      <w:kern w:val="2"/>
                      <w:sz w:val="21"/>
                      <w:szCs w:val="21"/>
                      <w14:textFill>
                        <w14:solidFill>
                          <w14:schemeClr w14:val="tx1"/>
                        </w14:solidFill>
                      </w14:textFill>
                    </w:rPr>
                  </w:pPr>
                </w:p>
              </w:tc>
              <w:tc>
                <w:tcPr>
                  <w:tcW w:w="737" w:type="dxa"/>
                  <w:vMerge w:val="continue"/>
                  <w:tcBorders>
                    <w:tl2br w:val="nil"/>
                    <w:tr2bl w:val="nil"/>
                  </w:tcBorders>
                  <w:vAlign w:val="center"/>
                </w:tcPr>
                <w:p w14:paraId="63EAB54D">
                  <w:pPr>
                    <w:pStyle w:val="39"/>
                    <w:snapToGrid w:val="0"/>
                    <w:textAlignment w:val="auto"/>
                    <w:rPr>
                      <w:rFonts w:eastAsia="宋体"/>
                      <w:color w:val="000000" w:themeColor="text1"/>
                      <w:kern w:val="2"/>
                      <w:sz w:val="21"/>
                      <w:szCs w:val="21"/>
                      <w14:textFill>
                        <w14:solidFill>
                          <w14:schemeClr w14:val="tx1"/>
                        </w14:solidFill>
                      </w14:textFill>
                    </w:rPr>
                  </w:pPr>
                </w:p>
              </w:tc>
              <w:tc>
                <w:tcPr>
                  <w:tcW w:w="625" w:type="dxa"/>
                  <w:vMerge w:val="continue"/>
                  <w:tcBorders>
                    <w:tl2br w:val="nil"/>
                    <w:tr2bl w:val="nil"/>
                  </w:tcBorders>
                  <w:vAlign w:val="center"/>
                </w:tcPr>
                <w:p w14:paraId="5967D998">
                  <w:pPr>
                    <w:pStyle w:val="39"/>
                    <w:snapToGrid w:val="0"/>
                    <w:textAlignment w:val="auto"/>
                    <w:rPr>
                      <w:rFonts w:eastAsia="宋体"/>
                      <w:color w:val="000000" w:themeColor="text1"/>
                      <w:kern w:val="2"/>
                      <w:sz w:val="21"/>
                      <w:szCs w:val="21"/>
                      <w14:textFill>
                        <w14:solidFill>
                          <w14:schemeClr w14:val="tx1"/>
                        </w14:solidFill>
                      </w14:textFill>
                    </w:rPr>
                  </w:pPr>
                </w:p>
              </w:tc>
              <w:tc>
                <w:tcPr>
                  <w:tcW w:w="627" w:type="dxa"/>
                  <w:vMerge w:val="continue"/>
                  <w:tcBorders>
                    <w:tl2br w:val="nil"/>
                    <w:tr2bl w:val="nil"/>
                  </w:tcBorders>
                  <w:vAlign w:val="center"/>
                </w:tcPr>
                <w:p w14:paraId="620993ED">
                  <w:pPr>
                    <w:pStyle w:val="39"/>
                    <w:snapToGrid w:val="0"/>
                    <w:textAlignment w:val="auto"/>
                    <w:rPr>
                      <w:rFonts w:eastAsia="宋体"/>
                      <w:color w:val="000000" w:themeColor="text1"/>
                      <w:kern w:val="2"/>
                      <w:sz w:val="21"/>
                      <w:szCs w:val="21"/>
                      <w14:textFill>
                        <w14:solidFill>
                          <w14:schemeClr w14:val="tx1"/>
                        </w14:solidFill>
                      </w14:textFill>
                    </w:rPr>
                  </w:pPr>
                </w:p>
              </w:tc>
            </w:tr>
            <w:tr w14:paraId="5FBBFB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419" w:type="dxa"/>
                  <w:tcBorders>
                    <w:tl2br w:val="nil"/>
                    <w:tr2bl w:val="nil"/>
                  </w:tcBorders>
                  <w:vAlign w:val="center"/>
                </w:tcPr>
                <w:p w14:paraId="7BF7E315">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513" w:type="dxa"/>
                  <w:tcBorders>
                    <w:tl2br w:val="nil"/>
                    <w:tr2bl w:val="nil"/>
                  </w:tcBorders>
                  <w:vAlign w:val="center"/>
                </w:tcPr>
                <w:p w14:paraId="4B2E1119">
                  <w:pPr>
                    <w:pStyle w:val="73"/>
                    <w:rPr>
                      <w:rFonts w:cs="Times New Roman"/>
                      <w:color w:val="000000" w:themeColor="text1"/>
                      <w:kern w:val="2"/>
                      <w:sz w:val="21"/>
                      <w:szCs w:val="21"/>
                      <w14:textFill>
                        <w14:solidFill>
                          <w14:schemeClr w14:val="tx1"/>
                        </w14:solidFill>
                      </w14:textFill>
                    </w:rPr>
                  </w:pPr>
                  <w:r>
                    <w:rPr>
                      <w:rFonts w:cs="Times New Roman"/>
                      <w:snapToGrid w:val="0"/>
                      <w:color w:val="000000" w:themeColor="text1"/>
                      <w:sz w:val="21"/>
                      <w:szCs w:val="21"/>
                      <w14:textFill>
                        <w14:solidFill>
                          <w14:schemeClr w14:val="tx1"/>
                        </w14:solidFill>
                      </w14:textFill>
                    </w:rPr>
                    <w:t>粉碎机</w:t>
                  </w:r>
                </w:p>
              </w:tc>
              <w:tc>
                <w:tcPr>
                  <w:tcW w:w="537" w:type="dxa"/>
                  <w:tcBorders>
                    <w:tl2br w:val="nil"/>
                    <w:tr2bl w:val="nil"/>
                  </w:tcBorders>
                  <w:vAlign w:val="center"/>
                </w:tcPr>
                <w:p w14:paraId="001DAB20">
                  <w:pPr>
                    <w:pStyle w:val="73"/>
                    <w:rPr>
                      <w:rFonts w:cs="Times New Roman"/>
                      <w:color w:val="000000" w:themeColor="text1"/>
                      <w:kern w:val="2"/>
                      <w:sz w:val="21"/>
                      <w:szCs w:val="21"/>
                      <w14:textFill>
                        <w14:solidFill>
                          <w14:schemeClr w14:val="tx1"/>
                        </w14:solidFill>
                      </w14:textFill>
                    </w:rPr>
                  </w:pPr>
                  <w:r>
                    <w:rPr>
                      <w:rFonts w:cs="Times New Roman"/>
                      <w:snapToGrid w:val="0"/>
                      <w:color w:val="000000" w:themeColor="text1"/>
                      <w:sz w:val="21"/>
                      <w:szCs w:val="21"/>
                      <w14:textFill>
                        <w14:solidFill>
                          <w14:schemeClr w14:val="tx1"/>
                        </w14:solidFill>
                      </w14:textFill>
                    </w:rPr>
                    <w:t>粉碎机</w:t>
                  </w:r>
                </w:p>
              </w:tc>
              <w:tc>
                <w:tcPr>
                  <w:tcW w:w="484" w:type="dxa"/>
                  <w:tcBorders>
                    <w:tl2br w:val="nil"/>
                    <w:tr2bl w:val="nil"/>
                  </w:tcBorders>
                  <w:vAlign w:val="center"/>
                </w:tcPr>
                <w:p w14:paraId="6307AC6E">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620" w:type="dxa"/>
                  <w:tcBorders>
                    <w:tl2br w:val="nil"/>
                    <w:tr2bl w:val="nil"/>
                  </w:tcBorders>
                  <w:vAlign w:val="center"/>
                </w:tcPr>
                <w:p w14:paraId="6392331C">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75</w:t>
                  </w:r>
                </w:p>
              </w:tc>
              <w:tc>
                <w:tcPr>
                  <w:tcW w:w="707" w:type="dxa"/>
                  <w:tcBorders>
                    <w:tl2br w:val="nil"/>
                    <w:tr2bl w:val="nil"/>
                  </w:tcBorders>
                  <w:vAlign w:val="center"/>
                </w:tcPr>
                <w:p w14:paraId="1E63428B">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基础减振、厂房隔声等</w:t>
                  </w:r>
                </w:p>
              </w:tc>
              <w:tc>
                <w:tcPr>
                  <w:tcW w:w="416" w:type="dxa"/>
                  <w:tcBorders>
                    <w:tl2br w:val="nil"/>
                    <w:tr2bl w:val="nil"/>
                  </w:tcBorders>
                  <w:vAlign w:val="center"/>
                </w:tcPr>
                <w:p w14:paraId="3308DF06">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40</w:t>
                  </w:r>
                </w:p>
              </w:tc>
              <w:tc>
                <w:tcPr>
                  <w:tcW w:w="416" w:type="dxa"/>
                  <w:tcBorders>
                    <w:tl2br w:val="nil"/>
                    <w:tr2bl w:val="nil"/>
                  </w:tcBorders>
                  <w:vAlign w:val="center"/>
                </w:tcPr>
                <w:p w14:paraId="020643C8">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45</w:t>
                  </w:r>
                </w:p>
              </w:tc>
              <w:tc>
                <w:tcPr>
                  <w:tcW w:w="418" w:type="dxa"/>
                  <w:tcBorders>
                    <w:tl2br w:val="nil"/>
                    <w:tr2bl w:val="nil"/>
                  </w:tcBorders>
                  <w:vAlign w:val="center"/>
                </w:tcPr>
                <w:p w14:paraId="39873E9E">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473" w:type="dxa"/>
                  <w:tcBorders>
                    <w:tl2br w:val="nil"/>
                    <w:tr2bl w:val="nil"/>
                  </w:tcBorders>
                  <w:vAlign w:val="center"/>
                </w:tcPr>
                <w:p w14:paraId="12850B2A">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471" w:type="dxa"/>
                  <w:tcBorders>
                    <w:tl2br w:val="nil"/>
                    <w:tr2bl w:val="nil"/>
                  </w:tcBorders>
                  <w:vAlign w:val="center"/>
                </w:tcPr>
                <w:p w14:paraId="0E8F5150">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61</w:t>
                  </w:r>
                </w:p>
              </w:tc>
              <w:tc>
                <w:tcPr>
                  <w:tcW w:w="384" w:type="dxa"/>
                  <w:vMerge w:val="restart"/>
                  <w:tcBorders>
                    <w:tl2br w:val="nil"/>
                    <w:tr2bl w:val="nil"/>
                  </w:tcBorders>
                  <w:vAlign w:val="center"/>
                </w:tcPr>
                <w:p w14:paraId="6C6C66D9">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昼间</w:t>
                  </w:r>
                </w:p>
              </w:tc>
              <w:tc>
                <w:tcPr>
                  <w:tcW w:w="737" w:type="dxa"/>
                  <w:tcBorders>
                    <w:tl2br w:val="nil"/>
                    <w:tr2bl w:val="nil"/>
                  </w:tcBorders>
                  <w:vAlign w:val="center"/>
                </w:tcPr>
                <w:p w14:paraId="252090C8">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w:t>
                  </w:r>
                </w:p>
              </w:tc>
              <w:tc>
                <w:tcPr>
                  <w:tcW w:w="625" w:type="dxa"/>
                  <w:tcBorders>
                    <w:tl2br w:val="nil"/>
                    <w:tr2bl w:val="nil"/>
                  </w:tcBorders>
                  <w:vAlign w:val="center"/>
                </w:tcPr>
                <w:p w14:paraId="4F1D7E94">
                  <w:pPr>
                    <w:widowControl/>
                    <w:jc w:val="center"/>
                    <w:textAlignment w:val="center"/>
                    <w:rPr>
                      <w:rFonts w:eastAsia="宋体"/>
                      <w:color w:val="000000" w:themeColor="text1"/>
                      <w:szCs w:val="21"/>
                      <w14:textFill>
                        <w14:solidFill>
                          <w14:schemeClr w14:val="tx1"/>
                        </w14:solidFill>
                      </w14:textFill>
                    </w:rPr>
                  </w:pPr>
                  <w:r>
                    <w:rPr>
                      <w:rFonts w:eastAsia="宋体"/>
                      <w:color w:val="000000" w:themeColor="text1"/>
                      <w:kern w:val="0"/>
                      <w:szCs w:val="21"/>
                      <w:lang w:bidi="ar"/>
                      <w14:textFill>
                        <w14:solidFill>
                          <w14:schemeClr w14:val="tx1"/>
                        </w14:solidFill>
                      </w14:textFill>
                    </w:rPr>
                    <w:t xml:space="preserve">41 </w:t>
                  </w:r>
                </w:p>
              </w:tc>
              <w:tc>
                <w:tcPr>
                  <w:tcW w:w="627" w:type="dxa"/>
                  <w:tcBorders>
                    <w:tl2br w:val="nil"/>
                    <w:tr2bl w:val="nil"/>
                  </w:tcBorders>
                  <w:vAlign w:val="center"/>
                </w:tcPr>
                <w:p w14:paraId="731821FF">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r>
            <w:tr w14:paraId="5131F0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19" w:type="dxa"/>
                  <w:tcBorders>
                    <w:tl2br w:val="nil"/>
                    <w:tr2bl w:val="nil"/>
                  </w:tcBorders>
                  <w:vAlign w:val="center"/>
                </w:tcPr>
                <w:p w14:paraId="57C8F862">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513" w:type="dxa"/>
                  <w:tcBorders>
                    <w:tl2br w:val="nil"/>
                    <w:tr2bl w:val="nil"/>
                  </w:tcBorders>
                  <w:vAlign w:val="center"/>
                </w:tcPr>
                <w:p w14:paraId="2BB10644">
                  <w:pPr>
                    <w:pStyle w:val="73"/>
                    <w:rPr>
                      <w:rFonts w:cs="Times New Roman"/>
                      <w:color w:val="000000" w:themeColor="text1"/>
                      <w:kern w:val="2"/>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搅拌机</w:t>
                  </w:r>
                </w:p>
              </w:tc>
              <w:tc>
                <w:tcPr>
                  <w:tcW w:w="537" w:type="dxa"/>
                  <w:tcBorders>
                    <w:tl2br w:val="nil"/>
                    <w:tr2bl w:val="nil"/>
                  </w:tcBorders>
                  <w:vAlign w:val="center"/>
                </w:tcPr>
                <w:p w14:paraId="063867EC">
                  <w:pPr>
                    <w:pStyle w:val="73"/>
                    <w:rPr>
                      <w:rFonts w:cs="Times New Roman"/>
                      <w:color w:val="000000" w:themeColor="text1"/>
                      <w:kern w:val="2"/>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搅拌机</w:t>
                  </w:r>
                </w:p>
              </w:tc>
              <w:tc>
                <w:tcPr>
                  <w:tcW w:w="484" w:type="dxa"/>
                  <w:tcBorders>
                    <w:tl2br w:val="nil"/>
                    <w:tr2bl w:val="nil"/>
                  </w:tcBorders>
                  <w:vAlign w:val="center"/>
                </w:tcPr>
                <w:p w14:paraId="1E5BAC4C">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620" w:type="dxa"/>
                  <w:tcBorders>
                    <w:tl2br w:val="nil"/>
                    <w:tr2bl w:val="nil"/>
                  </w:tcBorders>
                  <w:vAlign w:val="center"/>
                </w:tcPr>
                <w:p w14:paraId="72440F5A">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80</w:t>
                  </w:r>
                </w:p>
              </w:tc>
              <w:tc>
                <w:tcPr>
                  <w:tcW w:w="707" w:type="dxa"/>
                  <w:tcBorders>
                    <w:tl2br w:val="nil"/>
                    <w:tr2bl w:val="nil"/>
                  </w:tcBorders>
                  <w:vAlign w:val="center"/>
                </w:tcPr>
                <w:p w14:paraId="3D9C71BB">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基础减</w:t>
                  </w:r>
                </w:p>
                <w:p w14:paraId="3269873E">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振、厂房隔声等</w:t>
                  </w:r>
                </w:p>
              </w:tc>
              <w:tc>
                <w:tcPr>
                  <w:tcW w:w="416" w:type="dxa"/>
                  <w:tcBorders>
                    <w:tl2br w:val="nil"/>
                    <w:tr2bl w:val="nil"/>
                  </w:tcBorders>
                  <w:vAlign w:val="center"/>
                </w:tcPr>
                <w:p w14:paraId="29B86339">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38</w:t>
                  </w:r>
                </w:p>
              </w:tc>
              <w:tc>
                <w:tcPr>
                  <w:tcW w:w="416" w:type="dxa"/>
                  <w:tcBorders>
                    <w:tl2br w:val="nil"/>
                    <w:tr2bl w:val="nil"/>
                  </w:tcBorders>
                  <w:vAlign w:val="center"/>
                </w:tcPr>
                <w:p w14:paraId="1BBC7FA1">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48</w:t>
                  </w:r>
                </w:p>
              </w:tc>
              <w:tc>
                <w:tcPr>
                  <w:tcW w:w="418" w:type="dxa"/>
                  <w:tcBorders>
                    <w:tl2br w:val="nil"/>
                    <w:tr2bl w:val="nil"/>
                  </w:tcBorders>
                  <w:vAlign w:val="center"/>
                </w:tcPr>
                <w:p w14:paraId="33646855">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473" w:type="dxa"/>
                  <w:tcBorders>
                    <w:tl2br w:val="nil"/>
                    <w:tr2bl w:val="nil"/>
                  </w:tcBorders>
                  <w:vAlign w:val="center"/>
                </w:tcPr>
                <w:p w14:paraId="01D145EC">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6</w:t>
                  </w:r>
                </w:p>
              </w:tc>
              <w:tc>
                <w:tcPr>
                  <w:tcW w:w="471" w:type="dxa"/>
                  <w:tcBorders>
                    <w:tl2br w:val="nil"/>
                    <w:tr2bl w:val="nil"/>
                  </w:tcBorders>
                  <w:vAlign w:val="center"/>
                </w:tcPr>
                <w:p w14:paraId="3F33BDCC">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64</w:t>
                  </w:r>
                </w:p>
              </w:tc>
              <w:tc>
                <w:tcPr>
                  <w:tcW w:w="384" w:type="dxa"/>
                  <w:vMerge w:val="continue"/>
                  <w:tcBorders>
                    <w:tl2br w:val="nil"/>
                    <w:tr2bl w:val="nil"/>
                  </w:tcBorders>
                  <w:vAlign w:val="center"/>
                </w:tcPr>
                <w:p w14:paraId="3E5EB832">
                  <w:pPr>
                    <w:pStyle w:val="39"/>
                    <w:textAlignment w:val="auto"/>
                    <w:rPr>
                      <w:rFonts w:eastAsia="宋体"/>
                      <w:color w:val="000000" w:themeColor="text1"/>
                      <w:kern w:val="2"/>
                      <w:sz w:val="21"/>
                      <w:szCs w:val="21"/>
                      <w14:textFill>
                        <w14:solidFill>
                          <w14:schemeClr w14:val="tx1"/>
                        </w14:solidFill>
                      </w14:textFill>
                    </w:rPr>
                  </w:pPr>
                </w:p>
              </w:tc>
              <w:tc>
                <w:tcPr>
                  <w:tcW w:w="737" w:type="dxa"/>
                  <w:tcBorders>
                    <w:tl2br w:val="nil"/>
                    <w:tr2bl w:val="nil"/>
                  </w:tcBorders>
                  <w:vAlign w:val="center"/>
                </w:tcPr>
                <w:p w14:paraId="3F81CCC9">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w:t>
                  </w:r>
                </w:p>
              </w:tc>
              <w:tc>
                <w:tcPr>
                  <w:tcW w:w="625" w:type="dxa"/>
                  <w:tcBorders>
                    <w:tl2br w:val="nil"/>
                    <w:tr2bl w:val="nil"/>
                  </w:tcBorders>
                  <w:vAlign w:val="center"/>
                </w:tcPr>
                <w:p w14:paraId="3B91EAC7">
                  <w:pPr>
                    <w:widowControl/>
                    <w:jc w:val="center"/>
                    <w:textAlignment w:val="center"/>
                    <w:rPr>
                      <w:rFonts w:eastAsia="宋体"/>
                      <w:color w:val="000000" w:themeColor="text1"/>
                      <w:szCs w:val="21"/>
                      <w14:textFill>
                        <w14:solidFill>
                          <w14:schemeClr w14:val="tx1"/>
                        </w14:solidFill>
                      </w14:textFill>
                    </w:rPr>
                  </w:pPr>
                  <w:r>
                    <w:rPr>
                      <w:rFonts w:eastAsia="宋体"/>
                      <w:color w:val="000000" w:themeColor="text1"/>
                      <w:kern w:val="0"/>
                      <w:szCs w:val="21"/>
                      <w:lang w:bidi="ar"/>
                      <w14:textFill>
                        <w14:solidFill>
                          <w14:schemeClr w14:val="tx1"/>
                        </w14:solidFill>
                      </w14:textFill>
                    </w:rPr>
                    <w:t>44</w:t>
                  </w:r>
                </w:p>
              </w:tc>
              <w:tc>
                <w:tcPr>
                  <w:tcW w:w="627" w:type="dxa"/>
                  <w:tcBorders>
                    <w:tl2br w:val="nil"/>
                    <w:tr2bl w:val="nil"/>
                  </w:tcBorders>
                  <w:vAlign w:val="center"/>
                </w:tcPr>
                <w:p w14:paraId="422DC6A0">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r>
            <w:tr w14:paraId="439692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9" w:type="dxa"/>
                  <w:tcBorders>
                    <w:tl2br w:val="nil"/>
                    <w:tr2bl w:val="nil"/>
                  </w:tcBorders>
                  <w:vAlign w:val="center"/>
                </w:tcPr>
                <w:p w14:paraId="6B4E3FA2">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513" w:type="dxa"/>
                  <w:tcBorders>
                    <w:tl2br w:val="nil"/>
                    <w:tr2bl w:val="nil"/>
                  </w:tcBorders>
                  <w:vAlign w:val="center"/>
                </w:tcPr>
                <w:p w14:paraId="423DDDED">
                  <w:pPr>
                    <w:pStyle w:val="73"/>
                    <w:rPr>
                      <w:rFonts w:cs="Times New Roman"/>
                      <w:color w:val="000000" w:themeColor="text1"/>
                      <w:kern w:val="2"/>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输送机</w:t>
                  </w:r>
                </w:p>
              </w:tc>
              <w:tc>
                <w:tcPr>
                  <w:tcW w:w="537" w:type="dxa"/>
                  <w:tcBorders>
                    <w:tl2br w:val="nil"/>
                    <w:tr2bl w:val="nil"/>
                  </w:tcBorders>
                  <w:vAlign w:val="center"/>
                </w:tcPr>
                <w:p w14:paraId="719AF10C">
                  <w:pPr>
                    <w:pStyle w:val="73"/>
                    <w:rPr>
                      <w:rFonts w:cs="Times New Roman"/>
                      <w:color w:val="000000" w:themeColor="text1"/>
                      <w:kern w:val="2"/>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输送机</w:t>
                  </w:r>
                </w:p>
              </w:tc>
              <w:tc>
                <w:tcPr>
                  <w:tcW w:w="484" w:type="dxa"/>
                  <w:tcBorders>
                    <w:tl2br w:val="nil"/>
                    <w:tr2bl w:val="nil"/>
                  </w:tcBorders>
                  <w:vAlign w:val="center"/>
                </w:tcPr>
                <w:p w14:paraId="1A4B1D6E">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620" w:type="dxa"/>
                  <w:tcBorders>
                    <w:tl2br w:val="nil"/>
                    <w:tr2bl w:val="nil"/>
                  </w:tcBorders>
                  <w:vAlign w:val="center"/>
                </w:tcPr>
                <w:p w14:paraId="1B66E93F">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70</w:t>
                  </w:r>
                </w:p>
              </w:tc>
              <w:tc>
                <w:tcPr>
                  <w:tcW w:w="707" w:type="dxa"/>
                  <w:vMerge w:val="restart"/>
                  <w:tcBorders>
                    <w:tl2br w:val="nil"/>
                    <w:tr2bl w:val="nil"/>
                  </w:tcBorders>
                  <w:vAlign w:val="center"/>
                </w:tcPr>
                <w:p w14:paraId="02B7BBDB">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基础减</w:t>
                  </w:r>
                </w:p>
                <w:p w14:paraId="17598DF7">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振、厂房隔声等</w:t>
                  </w:r>
                </w:p>
              </w:tc>
              <w:tc>
                <w:tcPr>
                  <w:tcW w:w="416" w:type="dxa"/>
                  <w:tcBorders>
                    <w:tl2br w:val="nil"/>
                    <w:tr2bl w:val="nil"/>
                  </w:tcBorders>
                  <w:vAlign w:val="center"/>
                </w:tcPr>
                <w:p w14:paraId="400C08CA">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45</w:t>
                  </w:r>
                </w:p>
              </w:tc>
              <w:tc>
                <w:tcPr>
                  <w:tcW w:w="416" w:type="dxa"/>
                  <w:tcBorders>
                    <w:tl2br w:val="nil"/>
                    <w:tr2bl w:val="nil"/>
                  </w:tcBorders>
                  <w:vAlign w:val="center"/>
                </w:tcPr>
                <w:p w14:paraId="0C7A0310">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50</w:t>
                  </w:r>
                </w:p>
              </w:tc>
              <w:tc>
                <w:tcPr>
                  <w:tcW w:w="418" w:type="dxa"/>
                  <w:tcBorders>
                    <w:tl2br w:val="nil"/>
                    <w:tr2bl w:val="nil"/>
                  </w:tcBorders>
                  <w:vAlign w:val="center"/>
                </w:tcPr>
                <w:p w14:paraId="635E8EE7">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473" w:type="dxa"/>
                  <w:tcBorders>
                    <w:tl2br w:val="nil"/>
                    <w:tr2bl w:val="nil"/>
                  </w:tcBorders>
                  <w:vAlign w:val="center"/>
                </w:tcPr>
                <w:p w14:paraId="28024D5B">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471" w:type="dxa"/>
                  <w:tcBorders>
                    <w:tl2br w:val="nil"/>
                    <w:tr2bl w:val="nil"/>
                  </w:tcBorders>
                  <w:vAlign w:val="center"/>
                </w:tcPr>
                <w:p w14:paraId="46F7C9F8">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60</w:t>
                  </w:r>
                </w:p>
              </w:tc>
              <w:tc>
                <w:tcPr>
                  <w:tcW w:w="384" w:type="dxa"/>
                  <w:vMerge w:val="continue"/>
                  <w:tcBorders>
                    <w:tl2br w:val="nil"/>
                    <w:tr2bl w:val="nil"/>
                  </w:tcBorders>
                  <w:vAlign w:val="center"/>
                </w:tcPr>
                <w:p w14:paraId="5BC9BD64">
                  <w:pPr>
                    <w:pStyle w:val="39"/>
                    <w:textAlignment w:val="auto"/>
                    <w:rPr>
                      <w:rFonts w:eastAsia="宋体"/>
                      <w:color w:val="000000" w:themeColor="text1"/>
                      <w:kern w:val="2"/>
                      <w:sz w:val="21"/>
                      <w:szCs w:val="21"/>
                      <w14:textFill>
                        <w14:solidFill>
                          <w14:schemeClr w14:val="tx1"/>
                        </w14:solidFill>
                      </w14:textFill>
                    </w:rPr>
                  </w:pPr>
                </w:p>
              </w:tc>
              <w:tc>
                <w:tcPr>
                  <w:tcW w:w="737" w:type="dxa"/>
                  <w:tcBorders>
                    <w:tl2br w:val="nil"/>
                    <w:tr2bl w:val="nil"/>
                  </w:tcBorders>
                  <w:vAlign w:val="center"/>
                </w:tcPr>
                <w:p w14:paraId="2DD7FB28">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w:t>
                  </w:r>
                </w:p>
              </w:tc>
              <w:tc>
                <w:tcPr>
                  <w:tcW w:w="625" w:type="dxa"/>
                  <w:tcBorders>
                    <w:tl2br w:val="nil"/>
                    <w:tr2bl w:val="nil"/>
                  </w:tcBorders>
                  <w:shd w:val="clear" w:color="auto" w:fill="auto"/>
                  <w:vAlign w:val="center"/>
                </w:tcPr>
                <w:p w14:paraId="49AAB089">
                  <w:pPr>
                    <w:widowControl/>
                    <w:jc w:val="center"/>
                    <w:textAlignment w:val="center"/>
                    <w:rPr>
                      <w:rFonts w:eastAsia="宋体"/>
                      <w:color w:val="000000" w:themeColor="text1"/>
                      <w:szCs w:val="21"/>
                      <w14:textFill>
                        <w14:solidFill>
                          <w14:schemeClr w14:val="tx1"/>
                        </w14:solidFill>
                      </w14:textFill>
                    </w:rPr>
                  </w:pPr>
                  <w:r>
                    <w:rPr>
                      <w:rFonts w:eastAsia="宋体"/>
                      <w:color w:val="000000" w:themeColor="text1"/>
                      <w:kern w:val="0"/>
                      <w:szCs w:val="21"/>
                      <w:lang w:bidi="ar"/>
                      <w14:textFill>
                        <w14:solidFill>
                          <w14:schemeClr w14:val="tx1"/>
                        </w14:solidFill>
                      </w14:textFill>
                    </w:rPr>
                    <w:t>40</w:t>
                  </w:r>
                </w:p>
              </w:tc>
              <w:tc>
                <w:tcPr>
                  <w:tcW w:w="627" w:type="dxa"/>
                  <w:tcBorders>
                    <w:tl2br w:val="nil"/>
                    <w:tr2bl w:val="nil"/>
                  </w:tcBorders>
                  <w:vAlign w:val="center"/>
                </w:tcPr>
                <w:p w14:paraId="3B9D4CCA">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r>
            <w:tr w14:paraId="2C45DC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9" w:type="dxa"/>
                  <w:tcBorders>
                    <w:tl2br w:val="nil"/>
                    <w:tr2bl w:val="nil"/>
                  </w:tcBorders>
                  <w:vAlign w:val="center"/>
                </w:tcPr>
                <w:p w14:paraId="257F0FEC">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513" w:type="dxa"/>
                  <w:tcBorders>
                    <w:tl2br w:val="nil"/>
                    <w:tr2bl w:val="nil"/>
                  </w:tcBorders>
                  <w:vAlign w:val="center"/>
                </w:tcPr>
                <w:p w14:paraId="7BCCCAA0">
                  <w:pPr>
                    <w:pStyle w:val="73"/>
                    <w:rPr>
                      <w:rFonts w:cs="Times New Roman"/>
                      <w:color w:val="000000" w:themeColor="text1"/>
                      <w:kern w:val="2"/>
                      <w:sz w:val="21"/>
                      <w:szCs w:val="21"/>
                      <w14:textFill>
                        <w14:solidFill>
                          <w14:schemeClr w14:val="tx1"/>
                        </w14:solidFill>
                      </w14:textFill>
                    </w:rPr>
                  </w:pPr>
                  <w:r>
                    <w:rPr>
                      <w:rFonts w:cs="Times New Roman"/>
                      <w:snapToGrid w:val="0"/>
                      <w:color w:val="000000" w:themeColor="text1"/>
                      <w:sz w:val="21"/>
                      <w:szCs w:val="21"/>
                      <w14:textFill>
                        <w14:solidFill>
                          <w14:schemeClr w14:val="tx1"/>
                        </w14:solidFill>
                      </w14:textFill>
                    </w:rPr>
                    <w:t>输送机</w:t>
                  </w:r>
                </w:p>
              </w:tc>
              <w:tc>
                <w:tcPr>
                  <w:tcW w:w="537" w:type="dxa"/>
                  <w:tcBorders>
                    <w:tl2br w:val="nil"/>
                    <w:tr2bl w:val="nil"/>
                  </w:tcBorders>
                  <w:vAlign w:val="center"/>
                </w:tcPr>
                <w:p w14:paraId="6DA3884C">
                  <w:pPr>
                    <w:pStyle w:val="73"/>
                    <w:rPr>
                      <w:rFonts w:cs="Times New Roman"/>
                      <w:color w:val="000000" w:themeColor="text1"/>
                      <w:kern w:val="2"/>
                      <w:sz w:val="21"/>
                      <w:szCs w:val="21"/>
                      <w14:textFill>
                        <w14:solidFill>
                          <w14:schemeClr w14:val="tx1"/>
                        </w14:solidFill>
                      </w14:textFill>
                    </w:rPr>
                  </w:pPr>
                  <w:r>
                    <w:rPr>
                      <w:rFonts w:cs="Times New Roman"/>
                      <w:snapToGrid w:val="0"/>
                      <w:color w:val="000000" w:themeColor="text1"/>
                      <w:sz w:val="21"/>
                      <w:szCs w:val="21"/>
                      <w14:textFill>
                        <w14:solidFill>
                          <w14:schemeClr w14:val="tx1"/>
                        </w14:solidFill>
                      </w14:textFill>
                    </w:rPr>
                    <w:t>输送机</w:t>
                  </w:r>
                </w:p>
              </w:tc>
              <w:tc>
                <w:tcPr>
                  <w:tcW w:w="484" w:type="dxa"/>
                  <w:tcBorders>
                    <w:tl2br w:val="nil"/>
                    <w:tr2bl w:val="nil"/>
                  </w:tcBorders>
                  <w:vAlign w:val="center"/>
                </w:tcPr>
                <w:p w14:paraId="112AC471">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620" w:type="dxa"/>
                  <w:tcBorders>
                    <w:tl2br w:val="nil"/>
                    <w:tr2bl w:val="nil"/>
                  </w:tcBorders>
                  <w:vAlign w:val="center"/>
                </w:tcPr>
                <w:p w14:paraId="0878BA5D">
                  <w:pPr>
                    <w:jc w:val="center"/>
                    <w:rPr>
                      <w:rFonts w:eastAsia="宋体"/>
                      <w:color w:val="000000" w:themeColor="text1"/>
                      <w:szCs w:val="21"/>
                      <w14:textFill>
                        <w14:solidFill>
                          <w14:schemeClr w14:val="tx1"/>
                        </w14:solidFill>
                      </w14:textFill>
                    </w:rPr>
                  </w:pPr>
                  <w:r>
                    <w:rPr>
                      <w:rFonts w:hint="eastAsia" w:eastAsia="宋体"/>
                      <w:snapToGrid w:val="0"/>
                      <w:color w:val="000000" w:themeColor="text1"/>
                      <w:szCs w:val="21"/>
                      <w:lang w:val="en-US" w:eastAsia="zh-CN"/>
                      <w14:textFill>
                        <w14:solidFill>
                          <w14:schemeClr w14:val="tx1"/>
                        </w14:solidFill>
                      </w14:textFill>
                    </w:rPr>
                    <w:t>7</w:t>
                  </w:r>
                  <w:r>
                    <w:rPr>
                      <w:rFonts w:eastAsia="宋体"/>
                      <w:snapToGrid w:val="0"/>
                      <w:color w:val="000000" w:themeColor="text1"/>
                      <w:szCs w:val="21"/>
                      <w14:textFill>
                        <w14:solidFill>
                          <w14:schemeClr w14:val="tx1"/>
                        </w14:solidFill>
                      </w14:textFill>
                    </w:rPr>
                    <w:t>0</w:t>
                  </w:r>
                </w:p>
              </w:tc>
              <w:tc>
                <w:tcPr>
                  <w:tcW w:w="707" w:type="dxa"/>
                  <w:vMerge w:val="continue"/>
                  <w:tcBorders>
                    <w:tl2br w:val="nil"/>
                    <w:tr2bl w:val="nil"/>
                  </w:tcBorders>
                  <w:vAlign w:val="center"/>
                </w:tcPr>
                <w:p w14:paraId="7F9C2659">
                  <w:pPr>
                    <w:pStyle w:val="39"/>
                    <w:textAlignment w:val="auto"/>
                    <w:rPr>
                      <w:rFonts w:eastAsia="宋体"/>
                      <w:color w:val="000000" w:themeColor="text1"/>
                      <w:kern w:val="2"/>
                      <w:sz w:val="21"/>
                      <w:szCs w:val="21"/>
                      <w14:textFill>
                        <w14:solidFill>
                          <w14:schemeClr w14:val="tx1"/>
                        </w14:solidFill>
                      </w14:textFill>
                    </w:rPr>
                  </w:pPr>
                </w:p>
              </w:tc>
              <w:tc>
                <w:tcPr>
                  <w:tcW w:w="416" w:type="dxa"/>
                  <w:tcBorders>
                    <w:tl2br w:val="nil"/>
                    <w:tr2bl w:val="nil"/>
                  </w:tcBorders>
                  <w:vAlign w:val="center"/>
                </w:tcPr>
                <w:p w14:paraId="1976035F">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25</w:t>
                  </w:r>
                </w:p>
              </w:tc>
              <w:tc>
                <w:tcPr>
                  <w:tcW w:w="416" w:type="dxa"/>
                  <w:tcBorders>
                    <w:tl2br w:val="nil"/>
                    <w:tr2bl w:val="nil"/>
                  </w:tcBorders>
                  <w:vAlign w:val="center"/>
                </w:tcPr>
                <w:p w14:paraId="3792BA5C">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52</w:t>
                  </w:r>
                </w:p>
              </w:tc>
              <w:tc>
                <w:tcPr>
                  <w:tcW w:w="418" w:type="dxa"/>
                  <w:tcBorders>
                    <w:tl2br w:val="nil"/>
                    <w:tr2bl w:val="nil"/>
                  </w:tcBorders>
                  <w:vAlign w:val="center"/>
                </w:tcPr>
                <w:p w14:paraId="53C16847">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473" w:type="dxa"/>
                  <w:tcBorders>
                    <w:tl2br w:val="nil"/>
                    <w:tr2bl w:val="nil"/>
                  </w:tcBorders>
                  <w:vAlign w:val="center"/>
                </w:tcPr>
                <w:p w14:paraId="5A7F1F5A">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471" w:type="dxa"/>
                  <w:tcBorders>
                    <w:tl2br w:val="nil"/>
                    <w:tr2bl w:val="nil"/>
                  </w:tcBorders>
                  <w:vAlign w:val="center"/>
                </w:tcPr>
                <w:p w14:paraId="4CFEBA0B">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70</w:t>
                  </w:r>
                </w:p>
              </w:tc>
              <w:tc>
                <w:tcPr>
                  <w:tcW w:w="384" w:type="dxa"/>
                  <w:vMerge w:val="continue"/>
                  <w:tcBorders>
                    <w:tl2br w:val="nil"/>
                    <w:tr2bl w:val="nil"/>
                  </w:tcBorders>
                  <w:vAlign w:val="center"/>
                </w:tcPr>
                <w:p w14:paraId="0F840A8B">
                  <w:pPr>
                    <w:pStyle w:val="39"/>
                    <w:textAlignment w:val="auto"/>
                    <w:rPr>
                      <w:rFonts w:eastAsia="宋体"/>
                      <w:color w:val="000000" w:themeColor="text1"/>
                      <w:kern w:val="2"/>
                      <w:sz w:val="21"/>
                      <w:szCs w:val="21"/>
                      <w14:textFill>
                        <w14:solidFill>
                          <w14:schemeClr w14:val="tx1"/>
                        </w14:solidFill>
                      </w14:textFill>
                    </w:rPr>
                  </w:pPr>
                </w:p>
              </w:tc>
              <w:tc>
                <w:tcPr>
                  <w:tcW w:w="737" w:type="dxa"/>
                  <w:tcBorders>
                    <w:tl2br w:val="nil"/>
                    <w:tr2bl w:val="nil"/>
                  </w:tcBorders>
                  <w:vAlign w:val="center"/>
                </w:tcPr>
                <w:p w14:paraId="6CAEEFFC">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w:t>
                  </w:r>
                </w:p>
              </w:tc>
              <w:tc>
                <w:tcPr>
                  <w:tcW w:w="625" w:type="dxa"/>
                  <w:tcBorders>
                    <w:tl2br w:val="nil"/>
                    <w:tr2bl w:val="nil"/>
                  </w:tcBorders>
                  <w:shd w:val="clear" w:color="auto" w:fill="auto"/>
                  <w:vAlign w:val="center"/>
                </w:tcPr>
                <w:p w14:paraId="3635A4E9">
                  <w:pPr>
                    <w:widowControl/>
                    <w:jc w:val="center"/>
                    <w:textAlignment w:val="center"/>
                    <w:rPr>
                      <w:rFonts w:hint="default" w:eastAsia="宋体"/>
                      <w:color w:val="000000" w:themeColor="text1"/>
                      <w:kern w:val="0"/>
                      <w:szCs w:val="21"/>
                      <w:lang w:val="en-US" w:eastAsia="zh-CN" w:bidi="ar"/>
                      <w14:textFill>
                        <w14:solidFill>
                          <w14:schemeClr w14:val="tx1"/>
                        </w14:solidFill>
                      </w14:textFill>
                    </w:rPr>
                  </w:pPr>
                  <w:r>
                    <w:rPr>
                      <w:rFonts w:hint="eastAsia" w:eastAsia="宋体"/>
                      <w:color w:val="000000" w:themeColor="text1"/>
                      <w:kern w:val="0"/>
                      <w:szCs w:val="21"/>
                      <w:lang w:val="en-US" w:eastAsia="zh-CN" w:bidi="ar"/>
                      <w14:textFill>
                        <w14:solidFill>
                          <w14:schemeClr w14:val="tx1"/>
                        </w14:solidFill>
                      </w14:textFill>
                    </w:rPr>
                    <w:t>40</w:t>
                  </w:r>
                </w:p>
              </w:tc>
              <w:tc>
                <w:tcPr>
                  <w:tcW w:w="627" w:type="dxa"/>
                  <w:tcBorders>
                    <w:tl2br w:val="nil"/>
                    <w:tr2bl w:val="nil"/>
                  </w:tcBorders>
                  <w:vAlign w:val="center"/>
                </w:tcPr>
                <w:p w14:paraId="0EB46414">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r>
            <w:tr w14:paraId="7EF98B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9" w:type="dxa"/>
                  <w:tcBorders>
                    <w:tl2br w:val="nil"/>
                    <w:tr2bl w:val="nil"/>
                  </w:tcBorders>
                  <w:vAlign w:val="center"/>
                </w:tcPr>
                <w:p w14:paraId="448E2140">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513" w:type="dxa"/>
                  <w:tcBorders>
                    <w:tl2br w:val="nil"/>
                    <w:tr2bl w:val="nil"/>
                  </w:tcBorders>
                  <w:vAlign w:val="center"/>
                </w:tcPr>
                <w:p w14:paraId="1717E8EE">
                  <w:pPr>
                    <w:pStyle w:val="73"/>
                    <w:rPr>
                      <w:rFonts w:cs="Times New Roman"/>
                      <w:color w:val="000000" w:themeColor="text1"/>
                      <w:kern w:val="2"/>
                      <w:sz w:val="21"/>
                      <w:szCs w:val="21"/>
                      <w14:textFill>
                        <w14:solidFill>
                          <w14:schemeClr w14:val="tx1"/>
                        </w14:solidFill>
                      </w14:textFill>
                    </w:rPr>
                  </w:pPr>
                  <w:r>
                    <w:rPr>
                      <w:rFonts w:cs="Times New Roman"/>
                      <w:snapToGrid w:val="0"/>
                      <w:color w:val="000000" w:themeColor="text1"/>
                      <w:sz w:val="21"/>
                      <w:szCs w:val="21"/>
                      <w14:textFill>
                        <w14:solidFill>
                          <w14:schemeClr w14:val="tx1"/>
                        </w14:solidFill>
                      </w14:textFill>
                    </w:rPr>
                    <w:t>筛分机</w:t>
                  </w:r>
                </w:p>
              </w:tc>
              <w:tc>
                <w:tcPr>
                  <w:tcW w:w="537" w:type="dxa"/>
                  <w:tcBorders>
                    <w:tl2br w:val="nil"/>
                    <w:tr2bl w:val="nil"/>
                  </w:tcBorders>
                  <w:vAlign w:val="center"/>
                </w:tcPr>
                <w:p w14:paraId="513E1CEA">
                  <w:pPr>
                    <w:pStyle w:val="73"/>
                    <w:rPr>
                      <w:rFonts w:cs="Times New Roman"/>
                      <w:color w:val="000000" w:themeColor="text1"/>
                      <w:kern w:val="2"/>
                      <w:sz w:val="21"/>
                      <w:szCs w:val="21"/>
                      <w14:textFill>
                        <w14:solidFill>
                          <w14:schemeClr w14:val="tx1"/>
                        </w14:solidFill>
                      </w14:textFill>
                    </w:rPr>
                  </w:pPr>
                  <w:r>
                    <w:rPr>
                      <w:rFonts w:cs="Times New Roman"/>
                      <w:snapToGrid w:val="0"/>
                      <w:color w:val="000000" w:themeColor="text1"/>
                      <w:sz w:val="21"/>
                      <w:szCs w:val="21"/>
                      <w14:textFill>
                        <w14:solidFill>
                          <w14:schemeClr w14:val="tx1"/>
                        </w14:solidFill>
                      </w14:textFill>
                    </w:rPr>
                    <w:t>筛分机</w:t>
                  </w:r>
                </w:p>
              </w:tc>
              <w:tc>
                <w:tcPr>
                  <w:tcW w:w="484" w:type="dxa"/>
                  <w:tcBorders>
                    <w:tl2br w:val="nil"/>
                    <w:tr2bl w:val="nil"/>
                  </w:tcBorders>
                  <w:vAlign w:val="center"/>
                </w:tcPr>
                <w:p w14:paraId="6CDA47F8">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620" w:type="dxa"/>
                  <w:tcBorders>
                    <w:tl2br w:val="nil"/>
                    <w:tr2bl w:val="nil"/>
                  </w:tcBorders>
                  <w:vAlign w:val="center"/>
                </w:tcPr>
                <w:p w14:paraId="2A18551B">
                  <w:pPr>
                    <w:jc w:val="center"/>
                    <w:rPr>
                      <w:rFonts w:eastAsia="宋体"/>
                      <w:color w:val="000000" w:themeColor="text1"/>
                      <w:szCs w:val="21"/>
                      <w14:textFill>
                        <w14:solidFill>
                          <w14:schemeClr w14:val="tx1"/>
                        </w14:solidFill>
                      </w14:textFill>
                    </w:rPr>
                  </w:pPr>
                  <w:r>
                    <w:rPr>
                      <w:rFonts w:eastAsia="宋体"/>
                      <w:snapToGrid w:val="0"/>
                      <w:color w:val="000000" w:themeColor="text1"/>
                      <w:szCs w:val="21"/>
                      <w14:textFill>
                        <w14:solidFill>
                          <w14:schemeClr w14:val="tx1"/>
                        </w14:solidFill>
                      </w14:textFill>
                    </w:rPr>
                    <w:t>80</w:t>
                  </w:r>
                </w:p>
              </w:tc>
              <w:tc>
                <w:tcPr>
                  <w:tcW w:w="707" w:type="dxa"/>
                  <w:vMerge w:val="continue"/>
                  <w:tcBorders>
                    <w:tl2br w:val="nil"/>
                    <w:tr2bl w:val="nil"/>
                  </w:tcBorders>
                  <w:vAlign w:val="center"/>
                </w:tcPr>
                <w:p w14:paraId="7B72A607">
                  <w:pPr>
                    <w:pStyle w:val="39"/>
                    <w:textAlignment w:val="auto"/>
                    <w:rPr>
                      <w:rFonts w:eastAsia="宋体"/>
                      <w:color w:val="000000" w:themeColor="text1"/>
                      <w:kern w:val="2"/>
                      <w:sz w:val="21"/>
                      <w:szCs w:val="21"/>
                      <w14:textFill>
                        <w14:solidFill>
                          <w14:schemeClr w14:val="tx1"/>
                        </w14:solidFill>
                      </w14:textFill>
                    </w:rPr>
                  </w:pPr>
                </w:p>
              </w:tc>
              <w:tc>
                <w:tcPr>
                  <w:tcW w:w="416" w:type="dxa"/>
                  <w:tcBorders>
                    <w:tl2br w:val="nil"/>
                    <w:tr2bl w:val="nil"/>
                  </w:tcBorders>
                  <w:vAlign w:val="center"/>
                </w:tcPr>
                <w:p w14:paraId="42002055">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50</w:t>
                  </w:r>
                </w:p>
              </w:tc>
              <w:tc>
                <w:tcPr>
                  <w:tcW w:w="416" w:type="dxa"/>
                  <w:tcBorders>
                    <w:tl2br w:val="nil"/>
                    <w:tr2bl w:val="nil"/>
                  </w:tcBorders>
                  <w:vAlign w:val="center"/>
                </w:tcPr>
                <w:p w14:paraId="500A4CE3">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55</w:t>
                  </w:r>
                </w:p>
              </w:tc>
              <w:tc>
                <w:tcPr>
                  <w:tcW w:w="418" w:type="dxa"/>
                  <w:tcBorders>
                    <w:tl2br w:val="nil"/>
                    <w:tr2bl w:val="nil"/>
                  </w:tcBorders>
                  <w:vAlign w:val="center"/>
                </w:tcPr>
                <w:p w14:paraId="4E48F27F">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473" w:type="dxa"/>
                  <w:tcBorders>
                    <w:tl2br w:val="nil"/>
                    <w:tr2bl w:val="nil"/>
                  </w:tcBorders>
                  <w:vAlign w:val="center"/>
                </w:tcPr>
                <w:p w14:paraId="1E6F3DD6">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471" w:type="dxa"/>
                  <w:tcBorders>
                    <w:tl2br w:val="nil"/>
                    <w:tr2bl w:val="nil"/>
                  </w:tcBorders>
                  <w:vAlign w:val="center"/>
                </w:tcPr>
                <w:p w14:paraId="30C4A9C0">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70</w:t>
                  </w:r>
                </w:p>
              </w:tc>
              <w:tc>
                <w:tcPr>
                  <w:tcW w:w="384" w:type="dxa"/>
                  <w:vMerge w:val="continue"/>
                  <w:tcBorders>
                    <w:tl2br w:val="nil"/>
                    <w:tr2bl w:val="nil"/>
                  </w:tcBorders>
                  <w:vAlign w:val="center"/>
                </w:tcPr>
                <w:p w14:paraId="74AC03EA">
                  <w:pPr>
                    <w:pStyle w:val="39"/>
                    <w:textAlignment w:val="auto"/>
                    <w:rPr>
                      <w:rFonts w:eastAsia="宋体"/>
                      <w:color w:val="000000" w:themeColor="text1"/>
                      <w:kern w:val="2"/>
                      <w:sz w:val="21"/>
                      <w:szCs w:val="21"/>
                      <w14:textFill>
                        <w14:solidFill>
                          <w14:schemeClr w14:val="tx1"/>
                        </w14:solidFill>
                      </w14:textFill>
                    </w:rPr>
                  </w:pPr>
                </w:p>
              </w:tc>
              <w:tc>
                <w:tcPr>
                  <w:tcW w:w="737" w:type="dxa"/>
                  <w:tcBorders>
                    <w:tl2br w:val="nil"/>
                    <w:tr2bl w:val="nil"/>
                  </w:tcBorders>
                  <w:vAlign w:val="center"/>
                </w:tcPr>
                <w:p w14:paraId="62812A5A">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w:t>
                  </w:r>
                </w:p>
              </w:tc>
              <w:tc>
                <w:tcPr>
                  <w:tcW w:w="625" w:type="dxa"/>
                  <w:tcBorders>
                    <w:tl2br w:val="nil"/>
                    <w:tr2bl w:val="nil"/>
                  </w:tcBorders>
                  <w:shd w:val="clear" w:color="auto" w:fill="auto"/>
                  <w:vAlign w:val="center"/>
                </w:tcPr>
                <w:p w14:paraId="5711C5D2">
                  <w:pPr>
                    <w:widowControl/>
                    <w:jc w:val="center"/>
                    <w:textAlignment w:val="center"/>
                    <w:rPr>
                      <w:rFonts w:eastAsia="宋体"/>
                      <w:color w:val="000000" w:themeColor="text1"/>
                      <w:kern w:val="0"/>
                      <w:szCs w:val="21"/>
                      <w:lang w:bidi="ar"/>
                      <w14:textFill>
                        <w14:solidFill>
                          <w14:schemeClr w14:val="tx1"/>
                        </w14:solidFill>
                      </w14:textFill>
                    </w:rPr>
                  </w:pPr>
                  <w:r>
                    <w:rPr>
                      <w:rFonts w:eastAsia="宋体"/>
                      <w:color w:val="000000" w:themeColor="text1"/>
                      <w:kern w:val="0"/>
                      <w:szCs w:val="21"/>
                      <w:lang w:bidi="ar"/>
                      <w14:textFill>
                        <w14:solidFill>
                          <w14:schemeClr w14:val="tx1"/>
                        </w14:solidFill>
                      </w14:textFill>
                    </w:rPr>
                    <w:t>50</w:t>
                  </w:r>
                </w:p>
              </w:tc>
              <w:tc>
                <w:tcPr>
                  <w:tcW w:w="627" w:type="dxa"/>
                  <w:tcBorders>
                    <w:tl2br w:val="nil"/>
                    <w:tr2bl w:val="nil"/>
                  </w:tcBorders>
                  <w:vAlign w:val="center"/>
                </w:tcPr>
                <w:p w14:paraId="27FBB0AB">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r>
            <w:tr w14:paraId="556A1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9" w:type="dxa"/>
                  <w:tcBorders>
                    <w:tl2br w:val="nil"/>
                    <w:tr2bl w:val="nil"/>
                  </w:tcBorders>
                  <w:vAlign w:val="center"/>
                </w:tcPr>
                <w:p w14:paraId="2AC9E32E">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6</w:t>
                  </w:r>
                </w:p>
              </w:tc>
              <w:tc>
                <w:tcPr>
                  <w:tcW w:w="513" w:type="dxa"/>
                  <w:tcBorders>
                    <w:tl2br w:val="nil"/>
                    <w:tr2bl w:val="nil"/>
                  </w:tcBorders>
                  <w:vAlign w:val="center"/>
                </w:tcPr>
                <w:p w14:paraId="6CC319DA">
                  <w:pPr>
                    <w:pStyle w:val="73"/>
                    <w:rPr>
                      <w:rFonts w:cs="Times New Roman"/>
                      <w:color w:val="000000" w:themeColor="text1"/>
                      <w:kern w:val="2"/>
                      <w:sz w:val="21"/>
                      <w:szCs w:val="21"/>
                      <w14:textFill>
                        <w14:solidFill>
                          <w14:schemeClr w14:val="tx1"/>
                        </w14:solidFill>
                      </w14:textFill>
                    </w:rPr>
                  </w:pPr>
                  <w:r>
                    <w:rPr>
                      <w:rFonts w:cs="Times New Roman"/>
                      <w:snapToGrid w:val="0"/>
                      <w:color w:val="000000" w:themeColor="text1"/>
                      <w:sz w:val="21"/>
                      <w:szCs w:val="21"/>
                      <w14:textFill>
                        <w14:solidFill>
                          <w14:schemeClr w14:val="tx1"/>
                        </w14:solidFill>
                      </w14:textFill>
                    </w:rPr>
                    <w:t>包装机</w:t>
                  </w:r>
                </w:p>
              </w:tc>
              <w:tc>
                <w:tcPr>
                  <w:tcW w:w="537" w:type="dxa"/>
                  <w:tcBorders>
                    <w:tl2br w:val="nil"/>
                    <w:tr2bl w:val="nil"/>
                  </w:tcBorders>
                  <w:vAlign w:val="center"/>
                </w:tcPr>
                <w:p w14:paraId="59F13DDD">
                  <w:pPr>
                    <w:pStyle w:val="73"/>
                    <w:rPr>
                      <w:rFonts w:cs="Times New Roman"/>
                      <w:color w:val="000000" w:themeColor="text1"/>
                      <w:kern w:val="2"/>
                      <w:sz w:val="21"/>
                      <w:szCs w:val="21"/>
                      <w14:textFill>
                        <w14:solidFill>
                          <w14:schemeClr w14:val="tx1"/>
                        </w14:solidFill>
                      </w14:textFill>
                    </w:rPr>
                  </w:pPr>
                  <w:r>
                    <w:rPr>
                      <w:rFonts w:cs="Times New Roman"/>
                      <w:snapToGrid w:val="0"/>
                      <w:color w:val="000000" w:themeColor="text1"/>
                      <w:sz w:val="21"/>
                      <w:szCs w:val="21"/>
                      <w14:textFill>
                        <w14:solidFill>
                          <w14:schemeClr w14:val="tx1"/>
                        </w14:solidFill>
                      </w14:textFill>
                    </w:rPr>
                    <w:t>包装机</w:t>
                  </w:r>
                </w:p>
              </w:tc>
              <w:tc>
                <w:tcPr>
                  <w:tcW w:w="484" w:type="dxa"/>
                  <w:tcBorders>
                    <w:tl2br w:val="nil"/>
                    <w:tr2bl w:val="nil"/>
                  </w:tcBorders>
                  <w:vAlign w:val="center"/>
                </w:tcPr>
                <w:p w14:paraId="5551566C">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620" w:type="dxa"/>
                  <w:tcBorders>
                    <w:tl2br w:val="nil"/>
                    <w:tr2bl w:val="nil"/>
                  </w:tcBorders>
                  <w:vAlign w:val="center"/>
                </w:tcPr>
                <w:p w14:paraId="66745C7A">
                  <w:pPr>
                    <w:jc w:val="center"/>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75</w:t>
                  </w:r>
                </w:p>
              </w:tc>
              <w:tc>
                <w:tcPr>
                  <w:tcW w:w="707" w:type="dxa"/>
                  <w:vMerge w:val="continue"/>
                  <w:tcBorders>
                    <w:tl2br w:val="nil"/>
                    <w:tr2bl w:val="nil"/>
                  </w:tcBorders>
                  <w:vAlign w:val="center"/>
                </w:tcPr>
                <w:p w14:paraId="6366E112">
                  <w:pPr>
                    <w:pStyle w:val="39"/>
                    <w:textAlignment w:val="auto"/>
                    <w:rPr>
                      <w:rFonts w:eastAsia="宋体"/>
                      <w:color w:val="000000" w:themeColor="text1"/>
                      <w:kern w:val="2"/>
                      <w:sz w:val="21"/>
                      <w:szCs w:val="21"/>
                      <w14:textFill>
                        <w14:solidFill>
                          <w14:schemeClr w14:val="tx1"/>
                        </w14:solidFill>
                      </w14:textFill>
                    </w:rPr>
                  </w:pPr>
                </w:p>
              </w:tc>
              <w:tc>
                <w:tcPr>
                  <w:tcW w:w="416" w:type="dxa"/>
                  <w:tcBorders>
                    <w:tl2br w:val="nil"/>
                    <w:tr2bl w:val="nil"/>
                  </w:tcBorders>
                  <w:vAlign w:val="center"/>
                </w:tcPr>
                <w:p w14:paraId="49747A25">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46</w:t>
                  </w:r>
                </w:p>
              </w:tc>
              <w:tc>
                <w:tcPr>
                  <w:tcW w:w="416" w:type="dxa"/>
                  <w:tcBorders>
                    <w:tl2br w:val="nil"/>
                    <w:tr2bl w:val="nil"/>
                  </w:tcBorders>
                  <w:vAlign w:val="center"/>
                </w:tcPr>
                <w:p w14:paraId="2E4A046E">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56</w:t>
                  </w:r>
                </w:p>
              </w:tc>
              <w:tc>
                <w:tcPr>
                  <w:tcW w:w="418" w:type="dxa"/>
                  <w:tcBorders>
                    <w:tl2br w:val="nil"/>
                    <w:tr2bl w:val="nil"/>
                  </w:tcBorders>
                  <w:vAlign w:val="center"/>
                </w:tcPr>
                <w:p w14:paraId="389093A1">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473" w:type="dxa"/>
                  <w:tcBorders>
                    <w:tl2br w:val="nil"/>
                    <w:tr2bl w:val="nil"/>
                  </w:tcBorders>
                  <w:vAlign w:val="center"/>
                </w:tcPr>
                <w:p w14:paraId="662F640F">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471" w:type="dxa"/>
                  <w:tcBorders>
                    <w:tl2br w:val="nil"/>
                    <w:tr2bl w:val="nil"/>
                  </w:tcBorders>
                  <w:vAlign w:val="center"/>
                </w:tcPr>
                <w:p w14:paraId="0398221B">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65</w:t>
                  </w:r>
                </w:p>
              </w:tc>
              <w:tc>
                <w:tcPr>
                  <w:tcW w:w="384" w:type="dxa"/>
                  <w:vMerge w:val="continue"/>
                  <w:tcBorders>
                    <w:tl2br w:val="nil"/>
                    <w:tr2bl w:val="nil"/>
                  </w:tcBorders>
                  <w:vAlign w:val="center"/>
                </w:tcPr>
                <w:p w14:paraId="30A798E1">
                  <w:pPr>
                    <w:pStyle w:val="39"/>
                    <w:textAlignment w:val="auto"/>
                    <w:rPr>
                      <w:rFonts w:eastAsia="宋体"/>
                      <w:color w:val="000000" w:themeColor="text1"/>
                      <w:kern w:val="2"/>
                      <w:sz w:val="21"/>
                      <w:szCs w:val="21"/>
                      <w14:textFill>
                        <w14:solidFill>
                          <w14:schemeClr w14:val="tx1"/>
                        </w14:solidFill>
                      </w14:textFill>
                    </w:rPr>
                  </w:pPr>
                </w:p>
              </w:tc>
              <w:tc>
                <w:tcPr>
                  <w:tcW w:w="737" w:type="dxa"/>
                  <w:tcBorders>
                    <w:tl2br w:val="nil"/>
                    <w:tr2bl w:val="nil"/>
                  </w:tcBorders>
                  <w:vAlign w:val="center"/>
                </w:tcPr>
                <w:p w14:paraId="08CD3ACE">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w:t>
                  </w:r>
                </w:p>
              </w:tc>
              <w:tc>
                <w:tcPr>
                  <w:tcW w:w="625" w:type="dxa"/>
                  <w:tcBorders>
                    <w:tl2br w:val="nil"/>
                    <w:tr2bl w:val="nil"/>
                  </w:tcBorders>
                  <w:shd w:val="clear" w:color="auto" w:fill="auto"/>
                  <w:vAlign w:val="center"/>
                </w:tcPr>
                <w:p w14:paraId="0E31C24F">
                  <w:pPr>
                    <w:widowControl/>
                    <w:jc w:val="center"/>
                    <w:textAlignment w:val="center"/>
                    <w:rPr>
                      <w:rFonts w:eastAsia="宋体"/>
                      <w:color w:val="000000" w:themeColor="text1"/>
                      <w:kern w:val="0"/>
                      <w:szCs w:val="21"/>
                      <w:lang w:bidi="ar"/>
                      <w14:textFill>
                        <w14:solidFill>
                          <w14:schemeClr w14:val="tx1"/>
                        </w14:solidFill>
                      </w14:textFill>
                    </w:rPr>
                  </w:pPr>
                  <w:r>
                    <w:rPr>
                      <w:rFonts w:eastAsia="宋体"/>
                      <w:color w:val="000000" w:themeColor="text1"/>
                      <w:kern w:val="0"/>
                      <w:szCs w:val="21"/>
                      <w:lang w:bidi="ar"/>
                      <w14:textFill>
                        <w14:solidFill>
                          <w14:schemeClr w14:val="tx1"/>
                        </w14:solidFill>
                      </w14:textFill>
                    </w:rPr>
                    <w:t>45</w:t>
                  </w:r>
                </w:p>
              </w:tc>
              <w:tc>
                <w:tcPr>
                  <w:tcW w:w="627" w:type="dxa"/>
                  <w:tcBorders>
                    <w:tl2br w:val="nil"/>
                    <w:tr2bl w:val="nil"/>
                  </w:tcBorders>
                  <w:vAlign w:val="center"/>
                </w:tcPr>
                <w:p w14:paraId="23F6D9EE">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r>
            <w:tr w14:paraId="6B06F9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9" w:type="dxa"/>
                  <w:tcBorders>
                    <w:tl2br w:val="nil"/>
                    <w:tr2bl w:val="nil"/>
                  </w:tcBorders>
                  <w:vAlign w:val="center"/>
                </w:tcPr>
                <w:p w14:paraId="2366CF27">
                  <w:pPr>
                    <w:pStyle w:val="39"/>
                    <w:textAlignment w:val="auto"/>
                    <w:rPr>
                      <w:rFonts w:hint="eastAsia" w:eastAsia="宋体"/>
                      <w:color w:val="000000" w:themeColor="text1"/>
                      <w:kern w:val="2"/>
                      <w:sz w:val="21"/>
                      <w:szCs w:val="21"/>
                      <w:lang w:val="en-US" w:eastAsia="zh-CN"/>
                      <w14:textFill>
                        <w14:solidFill>
                          <w14:schemeClr w14:val="tx1"/>
                        </w14:solidFill>
                      </w14:textFill>
                    </w:rPr>
                  </w:pPr>
                  <w:r>
                    <w:rPr>
                      <w:rFonts w:hint="eastAsia" w:eastAsia="宋体"/>
                      <w:color w:val="000000" w:themeColor="text1"/>
                      <w:kern w:val="2"/>
                      <w:sz w:val="21"/>
                      <w:szCs w:val="21"/>
                      <w:lang w:val="en-US" w:eastAsia="zh-CN"/>
                      <w14:textFill>
                        <w14:solidFill>
                          <w14:schemeClr w14:val="tx1"/>
                        </w14:solidFill>
                      </w14:textFill>
                    </w:rPr>
                    <w:t>7</w:t>
                  </w:r>
                </w:p>
              </w:tc>
              <w:tc>
                <w:tcPr>
                  <w:tcW w:w="513" w:type="dxa"/>
                  <w:tcBorders>
                    <w:tl2br w:val="nil"/>
                    <w:tr2bl w:val="nil"/>
                  </w:tcBorders>
                  <w:vAlign w:val="center"/>
                </w:tcPr>
                <w:p w14:paraId="1DB8389E">
                  <w:pPr>
                    <w:pStyle w:val="73"/>
                    <w:rPr>
                      <w:rFonts w:hint="eastAsia" w:eastAsia="宋体" w:cs="Times New Roman"/>
                      <w:snapToGrid w:val="0"/>
                      <w:color w:val="000000" w:themeColor="text1"/>
                      <w:sz w:val="21"/>
                      <w:szCs w:val="21"/>
                      <w:lang w:val="en-US" w:eastAsia="zh-CN"/>
                      <w14:textFill>
                        <w14:solidFill>
                          <w14:schemeClr w14:val="tx1"/>
                        </w14:solidFill>
                      </w14:textFill>
                    </w:rPr>
                  </w:pPr>
                  <w:r>
                    <w:rPr>
                      <w:rFonts w:hint="eastAsia" w:cs="Times New Roman"/>
                      <w:snapToGrid w:val="0"/>
                      <w:color w:val="000000" w:themeColor="text1"/>
                      <w:sz w:val="21"/>
                      <w:szCs w:val="21"/>
                      <w:lang w:val="en-US" w:eastAsia="zh-CN"/>
                      <w14:textFill>
                        <w14:solidFill>
                          <w14:schemeClr w14:val="tx1"/>
                        </w14:solidFill>
                      </w14:textFill>
                    </w:rPr>
                    <w:t>制粒机</w:t>
                  </w:r>
                </w:p>
              </w:tc>
              <w:tc>
                <w:tcPr>
                  <w:tcW w:w="537" w:type="dxa"/>
                  <w:tcBorders>
                    <w:tl2br w:val="nil"/>
                    <w:tr2bl w:val="nil"/>
                  </w:tcBorders>
                  <w:vAlign w:val="center"/>
                </w:tcPr>
                <w:p w14:paraId="617ACF97">
                  <w:pPr>
                    <w:pStyle w:val="73"/>
                    <w:rPr>
                      <w:rFonts w:cs="Times New Roman"/>
                      <w:snapToGrid w:val="0"/>
                      <w:color w:val="000000" w:themeColor="text1"/>
                      <w:sz w:val="21"/>
                      <w:szCs w:val="21"/>
                      <w14:textFill>
                        <w14:solidFill>
                          <w14:schemeClr w14:val="tx1"/>
                        </w14:solidFill>
                      </w14:textFill>
                    </w:rPr>
                  </w:pPr>
                  <w:r>
                    <w:rPr>
                      <w:rFonts w:hint="eastAsia" w:cs="Times New Roman"/>
                      <w:snapToGrid w:val="0"/>
                      <w:color w:val="000000" w:themeColor="text1"/>
                      <w:sz w:val="21"/>
                      <w:szCs w:val="21"/>
                      <w:lang w:val="en-US" w:eastAsia="zh-CN"/>
                      <w14:textFill>
                        <w14:solidFill>
                          <w14:schemeClr w14:val="tx1"/>
                        </w14:solidFill>
                      </w14:textFill>
                    </w:rPr>
                    <w:t>制粒机</w:t>
                  </w:r>
                </w:p>
              </w:tc>
              <w:tc>
                <w:tcPr>
                  <w:tcW w:w="484" w:type="dxa"/>
                  <w:tcBorders>
                    <w:tl2br w:val="nil"/>
                    <w:tr2bl w:val="nil"/>
                  </w:tcBorders>
                  <w:vAlign w:val="center"/>
                </w:tcPr>
                <w:p w14:paraId="113FA725">
                  <w:pPr>
                    <w:pStyle w:val="39"/>
                    <w:textAlignment w:val="auto"/>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620" w:type="dxa"/>
                  <w:tcBorders>
                    <w:tl2br w:val="nil"/>
                    <w:tr2bl w:val="nil"/>
                  </w:tcBorders>
                  <w:vAlign w:val="center"/>
                </w:tcPr>
                <w:p w14:paraId="0BD80C56">
                  <w:pPr>
                    <w:jc w:val="center"/>
                    <w:rPr>
                      <w:rFonts w:eastAsia="宋体"/>
                      <w:color w:val="000000" w:themeColor="text1"/>
                      <w:szCs w:val="21"/>
                      <w14:textFill>
                        <w14:solidFill>
                          <w14:schemeClr w14:val="tx1"/>
                        </w14:solidFill>
                      </w14:textFill>
                    </w:rPr>
                  </w:pPr>
                  <w:r>
                    <w:rPr>
                      <w:rFonts w:eastAsia="宋体"/>
                      <w:snapToGrid w:val="0"/>
                      <w:color w:val="000000" w:themeColor="text1"/>
                      <w:szCs w:val="21"/>
                      <w14:textFill>
                        <w14:solidFill>
                          <w14:schemeClr w14:val="tx1"/>
                        </w14:solidFill>
                      </w14:textFill>
                    </w:rPr>
                    <w:t>80</w:t>
                  </w:r>
                </w:p>
              </w:tc>
              <w:tc>
                <w:tcPr>
                  <w:tcW w:w="707" w:type="dxa"/>
                  <w:vMerge w:val="continue"/>
                  <w:tcBorders>
                    <w:tl2br w:val="nil"/>
                    <w:tr2bl w:val="nil"/>
                  </w:tcBorders>
                  <w:vAlign w:val="center"/>
                </w:tcPr>
                <w:p w14:paraId="685DFEBE">
                  <w:pPr>
                    <w:pStyle w:val="39"/>
                    <w:textAlignment w:val="auto"/>
                    <w:rPr>
                      <w:rFonts w:eastAsia="宋体"/>
                      <w:color w:val="000000" w:themeColor="text1"/>
                      <w:kern w:val="2"/>
                      <w:sz w:val="21"/>
                      <w:szCs w:val="21"/>
                      <w14:textFill>
                        <w14:solidFill>
                          <w14:schemeClr w14:val="tx1"/>
                        </w14:solidFill>
                      </w14:textFill>
                    </w:rPr>
                  </w:pPr>
                </w:p>
              </w:tc>
              <w:tc>
                <w:tcPr>
                  <w:tcW w:w="416" w:type="dxa"/>
                  <w:tcBorders>
                    <w:tl2br w:val="nil"/>
                    <w:tr2bl w:val="nil"/>
                  </w:tcBorders>
                  <w:vAlign w:val="center"/>
                </w:tcPr>
                <w:p w14:paraId="591D175C">
                  <w:pPr>
                    <w:pStyle w:val="39"/>
                    <w:textAlignment w:val="auto"/>
                    <w:rPr>
                      <w:rFonts w:hint="default" w:eastAsia="宋体"/>
                      <w:color w:val="000000" w:themeColor="text1"/>
                      <w:kern w:val="2"/>
                      <w:sz w:val="21"/>
                      <w:szCs w:val="21"/>
                      <w:lang w:val="en-US" w:eastAsia="zh-CN"/>
                      <w14:textFill>
                        <w14:solidFill>
                          <w14:schemeClr w14:val="tx1"/>
                        </w14:solidFill>
                      </w14:textFill>
                    </w:rPr>
                  </w:pPr>
                  <w:r>
                    <w:rPr>
                      <w:rFonts w:hint="eastAsia" w:eastAsia="宋体"/>
                      <w:color w:val="000000" w:themeColor="text1"/>
                      <w:kern w:val="2"/>
                      <w:sz w:val="21"/>
                      <w:szCs w:val="21"/>
                      <w:lang w:val="en-US" w:eastAsia="zh-CN"/>
                      <w14:textFill>
                        <w14:solidFill>
                          <w14:schemeClr w14:val="tx1"/>
                        </w14:solidFill>
                      </w14:textFill>
                    </w:rPr>
                    <w:t>48</w:t>
                  </w:r>
                </w:p>
              </w:tc>
              <w:tc>
                <w:tcPr>
                  <w:tcW w:w="416" w:type="dxa"/>
                  <w:tcBorders>
                    <w:tl2br w:val="nil"/>
                    <w:tr2bl w:val="nil"/>
                  </w:tcBorders>
                  <w:vAlign w:val="center"/>
                </w:tcPr>
                <w:p w14:paraId="409E340A">
                  <w:pPr>
                    <w:pStyle w:val="39"/>
                    <w:textAlignment w:val="auto"/>
                    <w:rPr>
                      <w:rFonts w:hint="default" w:eastAsia="宋体"/>
                      <w:color w:val="000000" w:themeColor="text1"/>
                      <w:kern w:val="2"/>
                      <w:sz w:val="21"/>
                      <w:szCs w:val="21"/>
                      <w:lang w:val="en-US" w:eastAsia="zh-CN"/>
                      <w14:textFill>
                        <w14:solidFill>
                          <w14:schemeClr w14:val="tx1"/>
                        </w14:solidFill>
                      </w14:textFill>
                    </w:rPr>
                  </w:pPr>
                  <w:r>
                    <w:rPr>
                      <w:rFonts w:hint="eastAsia" w:eastAsia="宋体"/>
                      <w:color w:val="000000" w:themeColor="text1"/>
                      <w:kern w:val="2"/>
                      <w:sz w:val="21"/>
                      <w:szCs w:val="21"/>
                      <w:lang w:val="en-US" w:eastAsia="zh-CN"/>
                      <w14:textFill>
                        <w14:solidFill>
                          <w14:schemeClr w14:val="tx1"/>
                        </w14:solidFill>
                      </w14:textFill>
                    </w:rPr>
                    <w:t>51</w:t>
                  </w:r>
                </w:p>
              </w:tc>
              <w:tc>
                <w:tcPr>
                  <w:tcW w:w="418" w:type="dxa"/>
                  <w:tcBorders>
                    <w:tl2br w:val="nil"/>
                    <w:tr2bl w:val="nil"/>
                  </w:tcBorders>
                  <w:vAlign w:val="center"/>
                </w:tcPr>
                <w:p w14:paraId="243ACAA6">
                  <w:pPr>
                    <w:pStyle w:val="39"/>
                    <w:textAlignment w:val="auto"/>
                    <w:rPr>
                      <w:rFonts w:hint="eastAsia" w:eastAsia="宋体"/>
                      <w:color w:val="000000" w:themeColor="text1"/>
                      <w:kern w:val="2"/>
                      <w:sz w:val="21"/>
                      <w:szCs w:val="21"/>
                      <w:lang w:val="en-US" w:eastAsia="zh-CN"/>
                      <w14:textFill>
                        <w14:solidFill>
                          <w14:schemeClr w14:val="tx1"/>
                        </w14:solidFill>
                      </w14:textFill>
                    </w:rPr>
                  </w:pPr>
                  <w:r>
                    <w:rPr>
                      <w:rFonts w:hint="eastAsia" w:eastAsia="宋体"/>
                      <w:color w:val="000000" w:themeColor="text1"/>
                      <w:kern w:val="2"/>
                      <w:sz w:val="21"/>
                      <w:szCs w:val="21"/>
                      <w:lang w:val="en-US" w:eastAsia="zh-CN"/>
                      <w14:textFill>
                        <w14:solidFill>
                          <w14:schemeClr w14:val="tx1"/>
                        </w14:solidFill>
                      </w14:textFill>
                    </w:rPr>
                    <w:t>1</w:t>
                  </w:r>
                </w:p>
              </w:tc>
              <w:tc>
                <w:tcPr>
                  <w:tcW w:w="473" w:type="dxa"/>
                  <w:tcBorders>
                    <w:tl2br w:val="nil"/>
                    <w:tr2bl w:val="nil"/>
                  </w:tcBorders>
                  <w:vAlign w:val="center"/>
                </w:tcPr>
                <w:p w14:paraId="79C0A9D0">
                  <w:pPr>
                    <w:pStyle w:val="39"/>
                    <w:textAlignment w:val="auto"/>
                    <w:rPr>
                      <w:rFonts w:hint="eastAsia" w:eastAsia="宋体"/>
                      <w:color w:val="000000" w:themeColor="text1"/>
                      <w:kern w:val="2"/>
                      <w:sz w:val="21"/>
                      <w:szCs w:val="21"/>
                      <w:lang w:val="en-US" w:eastAsia="zh-CN"/>
                      <w14:textFill>
                        <w14:solidFill>
                          <w14:schemeClr w14:val="tx1"/>
                        </w14:solidFill>
                      </w14:textFill>
                    </w:rPr>
                  </w:pPr>
                  <w:r>
                    <w:rPr>
                      <w:rFonts w:hint="eastAsia" w:eastAsia="宋体"/>
                      <w:color w:val="000000" w:themeColor="text1"/>
                      <w:kern w:val="2"/>
                      <w:sz w:val="21"/>
                      <w:szCs w:val="21"/>
                      <w:lang w:val="en-US" w:eastAsia="zh-CN"/>
                      <w14:textFill>
                        <w14:solidFill>
                          <w14:schemeClr w14:val="tx1"/>
                        </w14:solidFill>
                      </w14:textFill>
                    </w:rPr>
                    <w:t>5</w:t>
                  </w:r>
                </w:p>
              </w:tc>
              <w:tc>
                <w:tcPr>
                  <w:tcW w:w="471" w:type="dxa"/>
                  <w:tcBorders>
                    <w:tl2br w:val="nil"/>
                    <w:tr2bl w:val="nil"/>
                  </w:tcBorders>
                  <w:vAlign w:val="center"/>
                </w:tcPr>
                <w:p w14:paraId="55F24A0F">
                  <w:pPr>
                    <w:pStyle w:val="39"/>
                    <w:textAlignment w:val="auto"/>
                    <w:rPr>
                      <w:rFonts w:hint="default" w:eastAsia="宋体"/>
                      <w:color w:val="000000" w:themeColor="text1"/>
                      <w:kern w:val="2"/>
                      <w:sz w:val="21"/>
                      <w:szCs w:val="21"/>
                      <w:lang w:val="en-US" w:eastAsia="zh-CN"/>
                      <w14:textFill>
                        <w14:solidFill>
                          <w14:schemeClr w14:val="tx1"/>
                        </w14:solidFill>
                      </w14:textFill>
                    </w:rPr>
                  </w:pPr>
                  <w:r>
                    <w:rPr>
                      <w:rFonts w:hint="eastAsia" w:eastAsia="宋体"/>
                      <w:color w:val="000000" w:themeColor="text1"/>
                      <w:kern w:val="2"/>
                      <w:sz w:val="21"/>
                      <w:szCs w:val="21"/>
                      <w:lang w:val="en-US" w:eastAsia="zh-CN"/>
                      <w14:textFill>
                        <w14:solidFill>
                          <w14:schemeClr w14:val="tx1"/>
                        </w14:solidFill>
                      </w14:textFill>
                    </w:rPr>
                    <w:t>66</w:t>
                  </w:r>
                </w:p>
              </w:tc>
              <w:tc>
                <w:tcPr>
                  <w:tcW w:w="384" w:type="dxa"/>
                  <w:vMerge w:val="continue"/>
                  <w:tcBorders>
                    <w:tl2br w:val="nil"/>
                    <w:tr2bl w:val="nil"/>
                  </w:tcBorders>
                  <w:vAlign w:val="center"/>
                </w:tcPr>
                <w:p w14:paraId="6549DF01">
                  <w:pPr>
                    <w:pStyle w:val="39"/>
                    <w:textAlignment w:val="auto"/>
                    <w:rPr>
                      <w:rFonts w:eastAsia="宋体"/>
                      <w:color w:val="000000" w:themeColor="text1"/>
                      <w:kern w:val="2"/>
                      <w:sz w:val="21"/>
                      <w:szCs w:val="21"/>
                      <w14:textFill>
                        <w14:solidFill>
                          <w14:schemeClr w14:val="tx1"/>
                        </w14:solidFill>
                      </w14:textFill>
                    </w:rPr>
                  </w:pPr>
                </w:p>
              </w:tc>
              <w:tc>
                <w:tcPr>
                  <w:tcW w:w="737" w:type="dxa"/>
                  <w:tcBorders>
                    <w:tl2br w:val="nil"/>
                    <w:tr2bl w:val="nil"/>
                  </w:tcBorders>
                  <w:vAlign w:val="center"/>
                </w:tcPr>
                <w:p w14:paraId="0800694F">
                  <w:pPr>
                    <w:pStyle w:val="39"/>
                    <w:textAlignment w:val="auto"/>
                    <w:rPr>
                      <w:rFonts w:hint="default" w:eastAsia="宋体"/>
                      <w:color w:val="000000" w:themeColor="text1"/>
                      <w:kern w:val="2"/>
                      <w:sz w:val="21"/>
                      <w:szCs w:val="21"/>
                      <w:lang w:val="en-US" w:eastAsia="zh-CN"/>
                      <w14:textFill>
                        <w14:solidFill>
                          <w14:schemeClr w14:val="tx1"/>
                        </w14:solidFill>
                      </w14:textFill>
                    </w:rPr>
                  </w:pPr>
                  <w:r>
                    <w:rPr>
                      <w:rFonts w:hint="eastAsia" w:eastAsia="宋体"/>
                      <w:color w:val="000000" w:themeColor="text1"/>
                      <w:kern w:val="2"/>
                      <w:sz w:val="21"/>
                      <w:szCs w:val="21"/>
                      <w:lang w:val="en-US" w:eastAsia="zh-CN"/>
                      <w14:textFill>
                        <w14:solidFill>
                          <w14:schemeClr w14:val="tx1"/>
                        </w14:solidFill>
                      </w14:textFill>
                    </w:rPr>
                    <w:t>20</w:t>
                  </w:r>
                </w:p>
              </w:tc>
              <w:tc>
                <w:tcPr>
                  <w:tcW w:w="625" w:type="dxa"/>
                  <w:tcBorders>
                    <w:tl2br w:val="nil"/>
                    <w:tr2bl w:val="nil"/>
                  </w:tcBorders>
                  <w:shd w:val="clear" w:color="auto" w:fill="auto"/>
                  <w:vAlign w:val="center"/>
                </w:tcPr>
                <w:p w14:paraId="5ED170DD">
                  <w:pPr>
                    <w:widowControl/>
                    <w:jc w:val="center"/>
                    <w:textAlignment w:val="center"/>
                    <w:rPr>
                      <w:rFonts w:hint="default" w:eastAsia="宋体"/>
                      <w:color w:val="000000" w:themeColor="text1"/>
                      <w:kern w:val="0"/>
                      <w:szCs w:val="21"/>
                      <w:lang w:val="en-US" w:eastAsia="zh-CN" w:bidi="ar"/>
                      <w14:textFill>
                        <w14:solidFill>
                          <w14:schemeClr w14:val="tx1"/>
                        </w14:solidFill>
                      </w14:textFill>
                    </w:rPr>
                  </w:pPr>
                  <w:r>
                    <w:rPr>
                      <w:rFonts w:hint="eastAsia" w:eastAsia="宋体"/>
                      <w:color w:val="000000" w:themeColor="text1"/>
                      <w:kern w:val="0"/>
                      <w:szCs w:val="21"/>
                      <w:lang w:val="en-US" w:eastAsia="zh-CN" w:bidi="ar"/>
                      <w14:textFill>
                        <w14:solidFill>
                          <w14:schemeClr w14:val="tx1"/>
                        </w14:solidFill>
                      </w14:textFill>
                    </w:rPr>
                    <w:t>46</w:t>
                  </w:r>
                </w:p>
              </w:tc>
              <w:tc>
                <w:tcPr>
                  <w:tcW w:w="627" w:type="dxa"/>
                  <w:tcBorders>
                    <w:tl2br w:val="nil"/>
                    <w:tr2bl w:val="nil"/>
                  </w:tcBorders>
                  <w:vAlign w:val="center"/>
                </w:tcPr>
                <w:p w14:paraId="29F999DF">
                  <w:pPr>
                    <w:pStyle w:val="39"/>
                    <w:textAlignment w:val="auto"/>
                    <w:rPr>
                      <w:rFonts w:hint="eastAsia" w:eastAsia="宋体"/>
                      <w:color w:val="000000" w:themeColor="text1"/>
                      <w:kern w:val="2"/>
                      <w:sz w:val="21"/>
                      <w:szCs w:val="21"/>
                      <w:lang w:val="en-US" w:eastAsia="zh-CN"/>
                      <w14:textFill>
                        <w14:solidFill>
                          <w14:schemeClr w14:val="tx1"/>
                        </w14:solidFill>
                      </w14:textFill>
                    </w:rPr>
                  </w:pPr>
                  <w:r>
                    <w:rPr>
                      <w:rFonts w:hint="eastAsia" w:eastAsia="宋体"/>
                      <w:color w:val="000000" w:themeColor="text1"/>
                      <w:kern w:val="2"/>
                      <w:sz w:val="21"/>
                      <w:szCs w:val="21"/>
                      <w:lang w:val="en-US" w:eastAsia="zh-CN"/>
                      <w14:textFill>
                        <w14:solidFill>
                          <w14:schemeClr w14:val="tx1"/>
                        </w14:solidFill>
                      </w14:textFill>
                    </w:rPr>
                    <w:t>1</w:t>
                  </w:r>
                </w:p>
              </w:tc>
            </w:tr>
          </w:tbl>
          <w:p w14:paraId="31D03CD7">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根据《环境影响评价技术导则 声环境》（HJ2.4-2021）预测设备噪声在厂界处排放情况噪声到厂界排放值，并判断是否达标。</w:t>
            </w:r>
          </w:p>
          <w:p w14:paraId="5A59D3CC">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①噪声预测计算模型</w:t>
            </w:r>
          </w:p>
          <w:p w14:paraId="32DE9E7A">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声源位于室内，室内声源可采用等效室外声源声功率级法进行计算。设靠近开口处（或窗户）室内、室外某倍频带的声压级或A声级分别为Lp1和Lp2。若声源所在室内声场为近似扩散声场，则室外的倍频带声压级可按下式近似求出。</w:t>
            </w:r>
          </w:p>
          <w:p w14:paraId="2392B969">
            <w:pPr>
              <w:adjustRightInd w:val="0"/>
              <w:snapToGrid w:val="0"/>
              <w:spacing w:line="360" w:lineRule="auto"/>
              <w:ind w:firstLine="480" w:firstLineChars="20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object>
                <v:shape id="_x0000_i1025" o:spt="75" type="#_x0000_t75" style="height:15.65pt;width:93.3pt;" o:ole="t" filled="f" o:preferrelative="t" stroked="f" coordsize="21600,21600">
                  <v:path/>
                  <v:fill on="f" focussize="0,0"/>
                  <v:stroke on="f" joinstyle="miter"/>
                  <v:imagedata r:id="rId28" o:title=""/>
                  <o:lock v:ext="edit" aspectratio="t"/>
                  <w10:wrap type="none"/>
                  <w10:anchorlock/>
                </v:shape>
                <o:OLEObject Type="Embed" ProgID="Equation.DSMT4" ShapeID="_x0000_i1025" DrawAspect="Content" ObjectID="_1468075725" r:id="rId27">
                  <o:LockedField>false</o:LockedField>
                </o:OLEObject>
              </w:object>
            </w:r>
          </w:p>
          <w:p w14:paraId="2D6E350B">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式中：Lp1—靠近开口处（或窗户）室内某倍频带的声压级或A声级，dB；</w:t>
            </w:r>
          </w:p>
          <w:p w14:paraId="2A9CDC38">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Lp2—靠近开口处（或窗户）室外某倍频带的声压级或A声级，dB；</w:t>
            </w:r>
          </w:p>
          <w:p w14:paraId="6258DBD8">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TL—隔墙（或窗户）倍频带或A声级的隔声量，dB。</w:t>
            </w:r>
          </w:p>
        </w:tc>
      </w:tr>
    </w:tbl>
    <w:p w14:paraId="28A61A1E">
      <w:pPr>
        <w:adjustRightInd w:val="0"/>
        <w:snapToGrid w:val="0"/>
        <w:jc w:val="center"/>
        <w:rPr>
          <w:rFonts w:eastAsia="宋体"/>
          <w:bCs/>
          <w:color w:val="000000" w:themeColor="text1"/>
          <w:sz w:val="24"/>
          <w14:textFill>
            <w14:solidFill>
              <w14:schemeClr w14:val="tx1"/>
            </w14:solidFill>
          </w14:textFill>
        </w:rPr>
        <w:sectPr>
          <w:pgSz w:w="11907" w:h="16840"/>
          <w:pgMar w:top="1440" w:right="1800" w:bottom="1440" w:left="1800" w:header="851" w:footer="992" w:gutter="0"/>
          <w:cols w:space="720" w:num="1"/>
          <w:docGrid w:linePitch="312" w:charSpace="0"/>
        </w:sectPr>
      </w:pPr>
    </w:p>
    <w:tbl>
      <w:tblPr>
        <w:tblStyle w:val="33"/>
        <w:tblW w:w="828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11"/>
        <w:gridCol w:w="7876"/>
      </w:tblGrid>
      <w:tr w14:paraId="7D5436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586" w:hRule="atLeast"/>
          <w:jc w:val="center"/>
        </w:trPr>
        <w:tc>
          <w:tcPr>
            <w:tcW w:w="411" w:type="dxa"/>
            <w:tcMar>
              <w:left w:w="28" w:type="dxa"/>
              <w:right w:w="28" w:type="dxa"/>
            </w:tcMar>
            <w:vAlign w:val="center"/>
          </w:tcPr>
          <w:p w14:paraId="5FF4529E">
            <w:pPr>
              <w:adjustRightInd w:val="0"/>
              <w:snapToGrid w:val="0"/>
              <w:jc w:val="center"/>
              <w:rPr>
                <w:rFonts w:eastAsia="宋体"/>
                <w:bCs/>
                <w:color w:val="000000" w:themeColor="text1"/>
                <w:sz w:val="24"/>
                <w14:textFill>
                  <w14:solidFill>
                    <w14:schemeClr w14:val="tx1"/>
                  </w14:solidFill>
                </w14:textFill>
              </w:rPr>
            </w:pPr>
          </w:p>
        </w:tc>
        <w:tc>
          <w:tcPr>
            <w:tcW w:w="7876" w:type="dxa"/>
            <w:vAlign w:val="center"/>
          </w:tcPr>
          <w:p w14:paraId="3AD4C69E">
            <w:pPr>
              <w:tabs>
                <w:tab w:val="left" w:pos="630"/>
              </w:tabs>
              <w:spacing w:line="360" w:lineRule="auto"/>
              <w:ind w:firstLine="480" w:firstLineChars="200"/>
              <w:jc w:val="center"/>
              <w:rPr>
                <w:rFonts w:eastAsia="宋体"/>
                <w:color w:val="000000" w:themeColor="text1"/>
                <w:kern w:val="0"/>
                <w:sz w:val="24"/>
                <w14:textFill>
                  <w14:solidFill>
                    <w14:schemeClr w14:val="tx1"/>
                  </w14:solidFill>
                </w14:textFill>
              </w:rPr>
            </w:pPr>
            <w:r>
              <w:rPr>
                <w:rFonts w:eastAsia="宋体"/>
                <w:color w:val="000000" w:themeColor="text1"/>
                <w:sz w:val="24"/>
                <w14:textFill>
                  <w14:solidFill>
                    <w14:schemeClr w14:val="tx1"/>
                  </w14:solidFill>
                </w14:textFill>
              </w:rPr>
              <w:drawing>
                <wp:inline distT="0" distB="0" distL="0" distR="0">
                  <wp:extent cx="3886200" cy="1865630"/>
                  <wp:effectExtent l="0" t="0" r="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29"/>
                          <a:stretch>
                            <a:fillRect/>
                          </a:stretch>
                        </pic:blipFill>
                        <pic:spPr>
                          <a:xfrm>
                            <a:off x="0" y="0"/>
                            <a:ext cx="3899532" cy="1872547"/>
                          </a:xfrm>
                          <a:prstGeom prst="rect">
                            <a:avLst/>
                          </a:prstGeom>
                        </pic:spPr>
                      </pic:pic>
                    </a:graphicData>
                  </a:graphic>
                </wp:inline>
              </w:drawing>
            </w:r>
          </w:p>
          <w:p w14:paraId="69638D40">
            <w:pPr>
              <w:adjustRightInd w:val="0"/>
              <w:snapToGrid w:val="0"/>
              <w:spacing w:line="360" w:lineRule="auto"/>
              <w:ind w:firstLine="482" w:firstLineChars="20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图4-1室内声源等效为室外声源图例</w:t>
            </w:r>
          </w:p>
          <w:p w14:paraId="69DDFF95">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也可按下式计算某一室内声源靠近围护结构处产生的倍频带声压级或A声级。</w:t>
            </w:r>
          </w:p>
          <w:p w14:paraId="091D7405">
            <w:pPr>
              <w:adjustRightInd w:val="0"/>
              <w:snapToGrid w:val="0"/>
              <w:spacing w:line="360" w:lineRule="auto"/>
              <w:ind w:firstLine="480" w:firstLineChars="20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object>
                <v:shape id="_x0000_i1026" o:spt="75" type="#_x0000_t75" style="height:34.45pt;width:130.8pt;" o:ole="t" filled="f" o:preferrelative="t" stroked="f" coordsize="21600,21600">
                  <v:path/>
                  <v:fill on="f" focussize="0,0"/>
                  <v:stroke on="f" joinstyle="miter"/>
                  <v:imagedata r:id="rId31" o:title=""/>
                  <o:lock v:ext="edit" aspectratio="t"/>
                  <w10:wrap type="none"/>
                  <w10:anchorlock/>
                </v:shape>
                <o:OLEObject Type="Embed" ProgID="Equation.DSMT4" ShapeID="_x0000_i1026" DrawAspect="Content" ObjectID="_1468075726" r:id="rId30">
                  <o:LockedField>false</o:LockedField>
                </o:OLEObject>
              </w:object>
            </w:r>
          </w:p>
          <w:p w14:paraId="5A9C4388">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式中：Lp1—靠近开口处（或窗户）室内某倍频带的声压级或A声级，dB；</w:t>
            </w:r>
          </w:p>
          <w:p w14:paraId="029B9A69">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Lw—点声源声功率级（A计权或倍频带），dB；</w:t>
            </w:r>
          </w:p>
          <w:p w14:paraId="6FBDF1E4">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Q—指向性因数；通常对无指向性声源，当声源放在房间中心时，Q=1；当放在一面墙的中心时，Q=2；当放在两面墙夹角处时，Q=4；当放在三面墙夹角处时，Q=8；</w:t>
            </w:r>
          </w:p>
          <w:p w14:paraId="4F4FE4C2">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R—房间常数；R=Sα/（1-α），S为房间内表面面积，m2；α为平均吸声系数；</w:t>
            </w:r>
          </w:p>
          <w:p w14:paraId="23534D9B">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r—声源到靠近围护结构某点处的距离，m。</w:t>
            </w:r>
          </w:p>
          <w:p w14:paraId="5E4E221E">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然后按下式计算出所有室内声源在围护结构处产生的i倍频带叠加声压级。</w:t>
            </w:r>
          </w:p>
          <w:p w14:paraId="60061C31">
            <w:pPr>
              <w:adjustRightInd w:val="0"/>
              <w:snapToGrid w:val="0"/>
              <w:spacing w:line="360" w:lineRule="auto"/>
              <w:ind w:firstLine="480" w:firstLineChars="20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object>
                <v:shape id="_x0000_i1027" o:spt="75" type="#_x0000_t75" style="height:40.05pt;width:130.8pt;" o:ole="t" filled="f" o:preferrelative="t" stroked="f" coordsize="21600,21600">
                  <v:path/>
                  <v:fill on="f" focussize="0,0"/>
                  <v:stroke on="f" joinstyle="miter"/>
                  <v:imagedata r:id="rId33" o:title=""/>
                  <o:lock v:ext="edit" aspectratio="t"/>
                  <w10:wrap type="none"/>
                  <w10:anchorlock/>
                </v:shape>
                <o:OLEObject Type="Embed" ProgID="Equation.DSMT4" ShapeID="_x0000_i1027" DrawAspect="Content" ObjectID="_1468075727" r:id="rId32">
                  <o:LockedField>false</o:LockedField>
                </o:OLEObject>
              </w:object>
            </w:r>
          </w:p>
          <w:p w14:paraId="16C79F49">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式中：Lpli（T）—靠近围护结构处室内N个声源i倍频带的叠加声压级，dB；</w:t>
            </w:r>
          </w:p>
          <w:p w14:paraId="6C9F7F23">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Lplij—室内j声源i倍频带的声压级，dB；</w:t>
            </w:r>
          </w:p>
          <w:p w14:paraId="26B68E81">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N—室内声源总数。</w:t>
            </w:r>
          </w:p>
          <w:p w14:paraId="383BC8F4">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在室内近似为扩散声场时，按下式计算出靠近室外围护结构处的声压级。</w:t>
            </w:r>
          </w:p>
          <w:p w14:paraId="7E7DC090">
            <w:pPr>
              <w:adjustRightInd w:val="0"/>
              <w:snapToGrid w:val="0"/>
              <w:spacing w:line="360" w:lineRule="auto"/>
              <w:ind w:firstLine="480" w:firstLineChars="20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object>
                <v:shape id="_x0000_i1028" o:spt="75" type="#_x0000_t75" style="height:25.05pt;width:167.75pt;" o:ole="t" filled="f" o:preferrelative="t" stroked="f" coordsize="21600,21600">
                  <v:path/>
                  <v:fill on="f" focussize="0,0"/>
                  <v:stroke on="f" joinstyle="miter"/>
                  <v:imagedata r:id="rId35" o:title=""/>
                  <o:lock v:ext="edit" aspectratio="t"/>
                  <w10:wrap type="none"/>
                  <w10:anchorlock/>
                </v:shape>
                <o:OLEObject Type="Embed" ProgID="Equation.DSMT4" ShapeID="_x0000_i1028" DrawAspect="Content" ObjectID="_1468075728" r:id="rId34">
                  <o:LockedField>false</o:LockedField>
                </o:OLEObject>
              </w:object>
            </w:r>
          </w:p>
          <w:p w14:paraId="1EAE2F64">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式中：</w:t>
            </w:r>
          </w:p>
          <w:p w14:paraId="2E09FDFA">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Lp2i（T）—靠近围护结构处室外N个声源i倍频带的叠加声压级，dB；</w:t>
            </w:r>
          </w:p>
          <w:p w14:paraId="40A499D4">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Lp2ij—靠近围护结构处室内N个声源i倍频带的叠加声压级，dB；</w:t>
            </w:r>
          </w:p>
          <w:p w14:paraId="4B578B2F">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TLi—围护结构i倍频带的隔声量，dB。</w:t>
            </w:r>
          </w:p>
          <w:p w14:paraId="5D450FAD">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然后按下式将室外声源的声压级和透过面积换算成等效的室外声源，计算出中心位置位于透声面积（S）处的等效声源的倍频带声功率级。</w:t>
            </w:r>
          </w:p>
          <w:p w14:paraId="4F832BED">
            <w:pPr>
              <w:adjustRightInd w:val="0"/>
              <w:snapToGrid w:val="0"/>
              <w:spacing w:line="360" w:lineRule="auto"/>
              <w:ind w:firstLine="480" w:firstLineChars="20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object>
                <v:shape id="_x0000_i1029" o:spt="75" type="#_x0000_t75" style="height:21.9pt;width:143.95pt;" o:ole="t" filled="f" o:preferrelative="t" stroked="f" coordsize="21600,21600">
                  <v:path/>
                  <v:fill on="f" focussize="0,0"/>
                  <v:stroke on="f" joinstyle="miter"/>
                  <v:imagedata r:id="rId37" o:title=""/>
                  <o:lock v:ext="edit" aspectratio="t"/>
                  <w10:wrap type="none"/>
                  <w10:anchorlock/>
                </v:shape>
                <o:OLEObject Type="Embed" ProgID="Equation.DSMT4" ShapeID="_x0000_i1029" DrawAspect="Content" ObjectID="_1468075729" r:id="rId36">
                  <o:LockedField>false</o:LockedField>
                </o:OLEObject>
              </w:object>
            </w:r>
          </w:p>
          <w:p w14:paraId="481204A8">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式中：Lw—中心位置位于透声面积（S）处的等效声源的倍频带声功率级，dB；</w:t>
            </w:r>
          </w:p>
          <w:p w14:paraId="63D170E1">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 xml:space="preserve">Lp2(T)—靠近围护结构处室外声源的声压级，dB； </w:t>
            </w:r>
          </w:p>
          <w:p w14:paraId="20A6A802">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S—透声面积，m</w:t>
            </w:r>
            <w:r>
              <w:rPr>
                <w:rFonts w:eastAsia="宋体"/>
                <w:bCs/>
                <w:color w:val="000000" w:themeColor="text1"/>
                <w:sz w:val="24"/>
                <w:vertAlign w:val="superscript"/>
                <w14:textFill>
                  <w14:solidFill>
                    <w14:schemeClr w14:val="tx1"/>
                  </w14:solidFill>
                </w14:textFill>
              </w:rPr>
              <w:t>2</w:t>
            </w:r>
            <w:r>
              <w:rPr>
                <w:rFonts w:eastAsia="宋体"/>
                <w:bCs/>
                <w:color w:val="000000" w:themeColor="text1"/>
                <w:sz w:val="24"/>
                <w14:textFill>
                  <w14:solidFill>
                    <w14:schemeClr w14:val="tx1"/>
                  </w14:solidFill>
                </w14:textFill>
              </w:rPr>
              <w:t>。</w:t>
            </w:r>
          </w:p>
          <w:p w14:paraId="0F0AE8FE">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噪声叠加计算按下式计算</w:t>
            </w:r>
          </w:p>
          <w:p w14:paraId="612A1207">
            <w:pPr>
              <w:adjustRightInd w:val="0"/>
              <w:snapToGrid w:val="0"/>
              <w:spacing w:line="360" w:lineRule="auto"/>
              <w:ind w:firstLine="480" w:firstLineChars="20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object>
                <v:shape id="_x0000_i1030" o:spt="75" type="#_x0000_t75" style="height:36.3pt;width:107.1pt;" o:ole="t" fillcolor="#6D6D6D" filled="f" o:preferrelative="t" stroked="f" coordsize="21600,21600">
                  <v:path/>
                  <v:fill on="f" focussize="0,0"/>
                  <v:stroke on="f" joinstyle="miter"/>
                  <v:imagedata r:id="rId39" o:title=""/>
                  <o:lock v:ext="edit" aspectratio="t"/>
                  <w10:wrap type="none"/>
                  <w10:anchorlock/>
                </v:shape>
                <o:OLEObject Type="Embed" ProgID="Equation.3" ShapeID="_x0000_i1030" DrawAspect="Content" ObjectID="_1468075730" r:id="rId38">
                  <o:LockedField>false</o:LockedField>
                </o:OLEObject>
              </w:object>
            </w:r>
          </w:p>
          <w:p w14:paraId="1B88CABC">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式中：L—噪声叠加后噪声值dB(A)；</w:t>
            </w:r>
          </w:p>
          <w:p w14:paraId="739AB297">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Li—第i个噪声值，dB(A)；</w:t>
            </w:r>
          </w:p>
          <w:p w14:paraId="718324C3">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若上式的几个噪声值均相同，可简化为：</w:t>
            </w:r>
          </w:p>
          <w:p w14:paraId="16AC1821">
            <w:pPr>
              <w:adjustRightInd w:val="0"/>
              <w:snapToGrid w:val="0"/>
              <w:spacing w:line="360" w:lineRule="auto"/>
              <w:ind w:firstLine="480" w:firstLineChars="20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object>
                <v:shape id="_x0000_i1031" o:spt="75" type="#_x0000_t75" style="height:22.55pt;width:117.05pt;" o:ole="t" fillcolor="#6D6D6D" filled="f" o:preferrelative="t" stroked="f" coordsize="21600,21600">
                  <v:path/>
                  <v:fill on="f" focussize="0,0"/>
                  <v:stroke on="f" joinstyle="miter"/>
                  <v:imagedata r:id="rId41" o:title=""/>
                  <o:lock v:ext="edit" aspectratio="t"/>
                  <w10:wrap type="none"/>
                  <w10:anchorlock/>
                </v:shape>
                <o:OLEObject Type="Embed" ProgID="Equation.3" ShapeID="_x0000_i1031" DrawAspect="Content" ObjectID="_1468075731" r:id="rId40">
                  <o:LockedField>false</o:LockedField>
                </o:OLEObject>
              </w:object>
            </w:r>
          </w:p>
          <w:p w14:paraId="59F3D14B">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式中：L—噪声叠加后噪声值dB(A)；</w:t>
            </w:r>
          </w:p>
          <w:p w14:paraId="41366433">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Lp—单个噪声值，dB(A)；</w:t>
            </w:r>
          </w:p>
          <w:p w14:paraId="0AB7CF84">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N—相同噪声值的个数。</w:t>
            </w:r>
          </w:p>
          <w:p w14:paraId="32D52628">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预测结果见表4-6。</w:t>
            </w:r>
          </w:p>
          <w:p w14:paraId="5CD12B3C">
            <w:pPr>
              <w:adjustRightInd w:val="0"/>
              <w:snapToGrid w:val="0"/>
              <w:spacing w:line="360" w:lineRule="auto"/>
              <w:ind w:firstLine="482" w:firstLineChars="20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表4-6噪声预测结果单位：dB（A）</w:t>
            </w:r>
          </w:p>
          <w:tbl>
            <w:tblPr>
              <w:tblStyle w:val="33"/>
              <w:tblW w:w="464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15"/>
              <w:gridCol w:w="1686"/>
              <w:gridCol w:w="1683"/>
              <w:gridCol w:w="1534"/>
            </w:tblGrid>
            <w:tr w14:paraId="766AA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555" w:type="pct"/>
                  <w:vAlign w:val="center"/>
                </w:tcPr>
                <w:p w14:paraId="2D04C3AE">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预测点位</w:t>
                  </w:r>
                </w:p>
              </w:tc>
              <w:tc>
                <w:tcPr>
                  <w:tcW w:w="1184" w:type="pct"/>
                  <w:vAlign w:val="center"/>
                </w:tcPr>
                <w:p w14:paraId="14FE955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预测时段</w:t>
                  </w:r>
                </w:p>
              </w:tc>
              <w:tc>
                <w:tcPr>
                  <w:tcW w:w="1182" w:type="pct"/>
                  <w:vAlign w:val="center"/>
                </w:tcPr>
                <w:p w14:paraId="024EF8A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贡献值</w:t>
                  </w:r>
                </w:p>
              </w:tc>
              <w:tc>
                <w:tcPr>
                  <w:tcW w:w="1077" w:type="pct"/>
                  <w:vAlign w:val="center"/>
                </w:tcPr>
                <w:p w14:paraId="57641DED">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达标情况</w:t>
                  </w:r>
                </w:p>
              </w:tc>
            </w:tr>
            <w:tr w14:paraId="6EAC9A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555" w:type="pct"/>
                  <w:vAlign w:val="center"/>
                </w:tcPr>
                <w:p w14:paraId="0B8D14E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东</w:t>
                  </w:r>
                </w:p>
              </w:tc>
              <w:tc>
                <w:tcPr>
                  <w:tcW w:w="1184" w:type="pct"/>
                  <w:vAlign w:val="center"/>
                </w:tcPr>
                <w:p w14:paraId="57B4C5C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昼</w:t>
                  </w:r>
                </w:p>
              </w:tc>
              <w:tc>
                <w:tcPr>
                  <w:tcW w:w="1182" w:type="pct"/>
                  <w:vAlign w:val="center"/>
                </w:tcPr>
                <w:p w14:paraId="7C4D62F5">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40</w:t>
                  </w:r>
                </w:p>
              </w:tc>
              <w:tc>
                <w:tcPr>
                  <w:tcW w:w="1077" w:type="pct"/>
                  <w:vAlign w:val="center"/>
                </w:tcPr>
                <w:p w14:paraId="0B928CF8">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达标</w:t>
                  </w:r>
                </w:p>
              </w:tc>
            </w:tr>
            <w:tr w14:paraId="42B38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555" w:type="pct"/>
                  <w:vAlign w:val="center"/>
                </w:tcPr>
                <w:p w14:paraId="63BDCC1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南</w:t>
                  </w:r>
                </w:p>
              </w:tc>
              <w:tc>
                <w:tcPr>
                  <w:tcW w:w="1184" w:type="pct"/>
                  <w:vAlign w:val="center"/>
                </w:tcPr>
                <w:p w14:paraId="0B3B3439">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昼</w:t>
                  </w:r>
                </w:p>
              </w:tc>
              <w:tc>
                <w:tcPr>
                  <w:tcW w:w="1182" w:type="pct"/>
                  <w:vAlign w:val="center"/>
                </w:tcPr>
                <w:p w14:paraId="38ABF2C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43</w:t>
                  </w:r>
                </w:p>
              </w:tc>
              <w:tc>
                <w:tcPr>
                  <w:tcW w:w="1077" w:type="pct"/>
                  <w:vAlign w:val="center"/>
                </w:tcPr>
                <w:p w14:paraId="40479777">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达标</w:t>
                  </w:r>
                </w:p>
              </w:tc>
            </w:tr>
            <w:tr w14:paraId="1CCD24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555" w:type="pct"/>
                  <w:vAlign w:val="center"/>
                </w:tcPr>
                <w:p w14:paraId="4E2B39C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西</w:t>
                  </w:r>
                </w:p>
              </w:tc>
              <w:tc>
                <w:tcPr>
                  <w:tcW w:w="1184" w:type="pct"/>
                  <w:vAlign w:val="center"/>
                </w:tcPr>
                <w:p w14:paraId="1877FDF3">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昼</w:t>
                  </w:r>
                </w:p>
              </w:tc>
              <w:tc>
                <w:tcPr>
                  <w:tcW w:w="1182" w:type="pct"/>
                  <w:vAlign w:val="center"/>
                </w:tcPr>
                <w:p w14:paraId="0A46FB81">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38</w:t>
                  </w:r>
                </w:p>
              </w:tc>
              <w:tc>
                <w:tcPr>
                  <w:tcW w:w="1077" w:type="pct"/>
                  <w:vAlign w:val="center"/>
                </w:tcPr>
                <w:p w14:paraId="366AC83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达标</w:t>
                  </w:r>
                </w:p>
              </w:tc>
            </w:tr>
            <w:tr w14:paraId="319ABC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555" w:type="pct"/>
                  <w:vAlign w:val="center"/>
                </w:tcPr>
                <w:p w14:paraId="286DD12C">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北</w:t>
                  </w:r>
                </w:p>
              </w:tc>
              <w:tc>
                <w:tcPr>
                  <w:tcW w:w="1184" w:type="pct"/>
                  <w:vAlign w:val="center"/>
                </w:tcPr>
                <w:p w14:paraId="7C5ECA1A">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昼</w:t>
                  </w:r>
                </w:p>
              </w:tc>
              <w:tc>
                <w:tcPr>
                  <w:tcW w:w="1182" w:type="pct"/>
                  <w:vAlign w:val="center"/>
                </w:tcPr>
                <w:p w14:paraId="4F2364B0">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30</w:t>
                  </w:r>
                </w:p>
              </w:tc>
              <w:tc>
                <w:tcPr>
                  <w:tcW w:w="1077" w:type="pct"/>
                  <w:vAlign w:val="center"/>
                </w:tcPr>
                <w:p w14:paraId="39F37F34">
                  <w:pPr>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达标</w:t>
                  </w:r>
                </w:p>
              </w:tc>
            </w:tr>
          </w:tbl>
          <w:p w14:paraId="4D40497A">
            <w:pPr>
              <w:adjustRightInd w:val="0"/>
              <w:snapToGrid w:val="0"/>
              <w:jc w:val="center"/>
              <w:rPr>
                <w:rFonts w:eastAsia="宋体"/>
                <w:bCs/>
                <w:color w:val="000000" w:themeColor="text1"/>
                <w:sz w:val="24"/>
                <w14:textFill>
                  <w14:solidFill>
                    <w14:schemeClr w14:val="tx1"/>
                  </w14:solidFill>
                </w14:textFill>
              </w:rPr>
            </w:pPr>
          </w:p>
          <w:p w14:paraId="4240BFFA">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根据表4-6在采取所提防治措施情况下，厂界噪声贡献值满足《工业企业厂界环境噪声排放标准》（GB12348-2008）表1中2类标准；</w:t>
            </w:r>
          </w:p>
          <w:p w14:paraId="36115F5B">
            <w:pPr>
              <w:adjustRightInd w:val="0"/>
              <w:snapToGrid w:val="0"/>
              <w:spacing w:line="360" w:lineRule="auto"/>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（2）监测计划</w:t>
            </w:r>
          </w:p>
          <w:p w14:paraId="29CAE6D9">
            <w:pPr>
              <w:adjustRightInd w:val="0"/>
              <w:snapToGrid w:val="0"/>
              <w:spacing w:line="500" w:lineRule="exact"/>
              <w:ind w:firstLine="480" w:firstLineChars="200"/>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本项目监测计划根据《排污单位自行监测技术指南 总则》（HJ819-2017）、</w:t>
            </w:r>
            <w:r>
              <w:rPr>
                <w:rFonts w:hint="eastAsia" w:eastAsia="宋体"/>
                <w:bCs/>
                <w:color w:val="000000" w:themeColor="text1"/>
                <w:sz w:val="24"/>
                <w:lang w:eastAsia="zh-CN"/>
                <w14:textFill>
                  <w14:solidFill>
                    <w14:schemeClr w14:val="tx1"/>
                  </w14:solidFill>
                </w14:textFill>
              </w:rPr>
              <w:t>《排污许可证申请与核发技术规范 化肥工业-氮肥》（HJ864.1-2017）</w:t>
            </w:r>
            <w:r>
              <w:rPr>
                <w:rFonts w:eastAsia="宋体"/>
                <w:bCs/>
                <w:color w:val="000000" w:themeColor="text1"/>
                <w:sz w:val="24"/>
                <w14:textFill>
                  <w14:solidFill>
                    <w14:schemeClr w14:val="tx1"/>
                  </w14:solidFill>
                </w14:textFill>
              </w:rPr>
              <w:t>等制定。</w:t>
            </w:r>
          </w:p>
          <w:p w14:paraId="14E3A190">
            <w:pPr>
              <w:adjustRightInd w:val="0"/>
              <w:snapToGrid w:val="0"/>
              <w:jc w:val="center"/>
              <w:rPr>
                <w:rFonts w:eastAsia="宋体"/>
                <w:bCs/>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表4-7  监测要求</w:t>
            </w:r>
          </w:p>
          <w:tbl>
            <w:tblPr>
              <w:tblStyle w:val="3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827"/>
              <w:gridCol w:w="3830"/>
            </w:tblGrid>
            <w:tr w14:paraId="186E0F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99" w:type="pct"/>
                  <w:vAlign w:val="center"/>
                </w:tcPr>
                <w:p w14:paraId="45DFEAD6">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监测点位</w:t>
                  </w:r>
                </w:p>
              </w:tc>
              <w:tc>
                <w:tcPr>
                  <w:tcW w:w="2500" w:type="pct"/>
                  <w:vAlign w:val="center"/>
                </w:tcPr>
                <w:p w14:paraId="630A4BDE">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监测频次</w:t>
                  </w:r>
                </w:p>
              </w:tc>
            </w:tr>
            <w:tr w14:paraId="47F0C6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99" w:type="pct"/>
                  <w:vAlign w:val="center"/>
                </w:tcPr>
                <w:p w14:paraId="3C671BFD">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厂界四周各设置1个监测点位</w:t>
                  </w:r>
                </w:p>
              </w:tc>
              <w:tc>
                <w:tcPr>
                  <w:tcW w:w="2500" w:type="pct"/>
                  <w:vAlign w:val="center"/>
                </w:tcPr>
                <w:p w14:paraId="7668135D">
                  <w:pPr>
                    <w:adjustRightInd w:val="0"/>
                    <w:snapToGrid w:val="0"/>
                    <w:jc w:val="center"/>
                    <w:rPr>
                      <w:rFonts w:eastAsia="宋体"/>
                      <w:bCs/>
                      <w:color w:val="000000" w:themeColor="text1"/>
                      <w:sz w:val="24"/>
                      <w14:textFill>
                        <w14:solidFill>
                          <w14:schemeClr w14:val="tx1"/>
                        </w14:solidFill>
                      </w14:textFill>
                    </w:rPr>
                  </w:pPr>
                  <w:r>
                    <w:rPr>
                      <w:rFonts w:eastAsia="宋体"/>
                      <w:bCs/>
                      <w:color w:val="000000" w:themeColor="text1"/>
                      <w:sz w:val="24"/>
                      <w14:textFill>
                        <w14:solidFill>
                          <w14:schemeClr w14:val="tx1"/>
                        </w14:solidFill>
                      </w14:textFill>
                    </w:rPr>
                    <w:t>1次/季度</w:t>
                  </w:r>
                </w:p>
              </w:tc>
            </w:tr>
          </w:tbl>
          <w:p w14:paraId="458EC5F6">
            <w:pPr>
              <w:pStyle w:val="78"/>
              <w:adjustRightInd w:val="0"/>
              <w:snapToGrid w:val="0"/>
              <w:spacing w:line="500" w:lineRule="atLeast"/>
              <w:rPr>
                <w:rFonts w:eastAsia="宋体"/>
                <w:bCs/>
                <w:snapToGrid w:val="0"/>
                <w:color w:val="000000" w:themeColor="text1"/>
                <w14:textFill>
                  <w14:solidFill>
                    <w14:schemeClr w14:val="tx1"/>
                  </w14:solidFill>
                </w14:textFill>
              </w:rPr>
            </w:pPr>
            <w:r>
              <w:rPr>
                <w:rFonts w:eastAsia="宋体"/>
                <w:bCs/>
                <w:snapToGrid w:val="0"/>
                <w:color w:val="000000" w:themeColor="text1"/>
                <w14:textFill>
                  <w14:solidFill>
                    <w14:schemeClr w14:val="tx1"/>
                  </w14:solidFill>
                </w14:textFill>
              </w:rPr>
              <w:t>（3）</w:t>
            </w:r>
            <w:r>
              <w:rPr>
                <w:rFonts w:eastAsia="宋体"/>
                <w:color w:val="000000" w:themeColor="text1"/>
                <w14:textFill>
                  <w14:solidFill>
                    <w14:schemeClr w14:val="tx1"/>
                  </w14:solidFill>
                </w14:textFill>
              </w:rPr>
              <w:t>噪声污染防治措施</w:t>
            </w:r>
          </w:p>
          <w:p w14:paraId="05F3769E">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本项目运营期采取如下降噪措施：</w:t>
            </w:r>
          </w:p>
          <w:p w14:paraId="444E66EE">
            <w:pPr>
              <w:adjustRightInd w:val="0"/>
              <w:snapToGrid w:val="0"/>
              <w:spacing w:line="500" w:lineRule="exact"/>
              <w:ind w:firstLine="48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①设备选型上选择低噪声设备；</w:t>
            </w:r>
          </w:p>
          <w:p w14:paraId="7093BC4D">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②定期对设备进行检查、维修，保持设备最佳运行状态，减少噪声产生量；</w:t>
            </w:r>
          </w:p>
          <w:p w14:paraId="384F60CA">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③在厂区总体布置中应注意防噪间距，以减少噪声的污染；</w:t>
            </w:r>
          </w:p>
          <w:p w14:paraId="2FF7AE29">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④加强对作业人员的个人防护和保护，如采用隔声耳罩等；</w:t>
            </w:r>
          </w:p>
          <w:p w14:paraId="40E96D95">
            <w:pPr>
              <w:pStyle w:val="78"/>
              <w:adjustRightInd w:val="0"/>
              <w:snapToGrid w:val="0"/>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本项目建成后，选用低噪声设备，通过减振、隔声、降噪、加强管理和设备合理布局等措施，厂界噪声满足《工业企业厂界环境噪声排放标准》（GB12348-2008）中2类标准要求。</w:t>
            </w:r>
          </w:p>
          <w:p w14:paraId="7FA2B387">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通过落实以上噪声治理措施，项目噪声对周围声环境影响较小。</w:t>
            </w:r>
          </w:p>
          <w:p w14:paraId="362AF23A">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四、运营期固体废物防治措施</w:t>
            </w:r>
          </w:p>
          <w:p w14:paraId="649AAF58">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本项目运营期产生的固体废物主要为布袋除尘器收尘、废布袋、废包装袋、生活垃圾等。</w:t>
            </w:r>
          </w:p>
          <w:p w14:paraId="5A85269F">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（1）布袋除尘器收尘</w:t>
            </w:r>
          </w:p>
          <w:p w14:paraId="1A4443A0">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布袋除尘器收集粉尘产生量约为14.97t/a，粉尘集中收集后回用生产。</w:t>
            </w:r>
          </w:p>
          <w:p w14:paraId="3C19F4DB">
            <w:pPr>
              <w:adjustRightInd w:val="0"/>
              <w:snapToGrid w:val="0"/>
              <w:spacing w:line="360" w:lineRule="auto"/>
              <w:ind w:firstLine="48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（2）废布袋</w:t>
            </w:r>
          </w:p>
          <w:p w14:paraId="38D19DD8">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废布袋产生量约为0.1t/a，废布袋集中收集，厂家定期回收。</w:t>
            </w:r>
          </w:p>
          <w:p w14:paraId="688ED26C">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（3）废包装袋</w:t>
            </w:r>
          </w:p>
          <w:p w14:paraId="3BCFB4A4">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主要是原料的废包装袋，产量约为0.5t/a，</w:t>
            </w:r>
            <w:r>
              <w:rPr>
                <w:rFonts w:eastAsia="宋体"/>
                <w:snapToGrid w:val="0"/>
                <w:color w:val="000000" w:themeColor="text1"/>
                <w:sz w:val="24"/>
                <w14:textFill>
                  <w14:solidFill>
                    <w14:schemeClr w14:val="tx1"/>
                  </w14:solidFill>
                </w14:textFill>
              </w:rPr>
              <w:t>厂家定期回收</w:t>
            </w:r>
            <w:r>
              <w:rPr>
                <w:rFonts w:eastAsia="宋体"/>
                <w:color w:val="000000" w:themeColor="text1"/>
                <w:sz w:val="24"/>
                <w14:textFill>
                  <w14:solidFill>
                    <w14:schemeClr w14:val="tx1"/>
                  </w14:solidFill>
                </w14:textFill>
              </w:rPr>
              <w:t>。</w:t>
            </w:r>
          </w:p>
          <w:p w14:paraId="71220E9E">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（4）生活垃圾</w:t>
            </w:r>
          </w:p>
          <w:p w14:paraId="41E570AD">
            <w:pPr>
              <w:adjustRightInd w:val="0"/>
              <w:snapToGrid w:val="0"/>
              <w:spacing w:line="360" w:lineRule="auto"/>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本项目建成后，职工生活办公区会有生活垃圾产生。本项目劳动定员为10人，生活垃圾按每人0.5kg/d计算，生活垃圾产生量为0.005t/d、1.2t/a。生活垃圾集中收集，由市政部门统一清运。</w:t>
            </w:r>
          </w:p>
          <w:p w14:paraId="1BE85311">
            <w:pPr>
              <w:pStyle w:val="88"/>
              <w:adjustRightInd w:val="0"/>
              <w:snapToGrid w:val="0"/>
              <w:spacing w:line="500" w:lineRule="exact"/>
              <w:ind w:firstLine="2409" w:firstLineChars="1000"/>
              <w:jc w:val="both"/>
              <w:rPr>
                <w:rFonts w:ascii="Times New Roman" w:hAnsi="Times New Roman" w:eastAsia="宋体"/>
                <w:b/>
                <w:bCs/>
                <w:color w:val="000000" w:themeColor="text1"/>
                <w:szCs w:val="24"/>
                <w14:textFill>
                  <w14:solidFill>
                    <w14:schemeClr w14:val="tx1"/>
                  </w14:solidFill>
                </w14:textFill>
              </w:rPr>
            </w:pPr>
            <w:r>
              <w:rPr>
                <w:rFonts w:ascii="Times New Roman" w:hAnsi="Times New Roman" w:eastAsia="宋体"/>
                <w:b/>
                <w:bCs/>
                <w:color w:val="000000" w:themeColor="text1"/>
                <w:szCs w:val="24"/>
                <w14:textFill>
                  <w14:solidFill>
                    <w14:schemeClr w14:val="tx1"/>
                  </w14:solidFill>
                </w14:textFill>
              </w:rPr>
              <w:t xml:space="preserve">表4-8本项目固废汇总表                                                                                                                                                                                                                                                                                                                                                                                                                                                                                                                                                                                                                                                                                                                                                                                                                                                                                                                                                                                                                                                                                                                                                                                                                                                                                                                                                                                                                                                                                                                                                                                                                                                                                                                                                                                                                                                                                                                                                                                                                                                                                                                                                                                                                                                                                                                                                                                                                                                                                                                                                                                                                                                                                                                                                                                                                                                                                                                                                                                                                                                                                                                                                                                                                                                                                                                                                                                                                                                                                                                                                                                                                                                                                                                                                                                                                                                                                                                                                                                                                                                                                                                                                                                                    </w:t>
            </w:r>
            <w:r>
              <w:rPr>
                <w:rFonts w:ascii="Times New Roman" w:hAnsi="Times New Roman" w:eastAsia="宋体"/>
                <w:b/>
                <w:bCs/>
                <w:color w:val="000000" w:themeColor="text1"/>
                <w:szCs w:val="24"/>
                <w14:textFill>
                  <w14:solidFill>
                    <w14:schemeClr w14:val="tx1"/>
                  </w14:solidFill>
                </w14:textFill>
              </w:rPr>
              <w:t xml:space="preserve">                                                                                                                                                                                                                                                                                                                                                                                                                                                                                                                                                                                                                                                                                               </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713"/>
              <w:gridCol w:w="467"/>
              <w:gridCol w:w="1425"/>
              <w:gridCol w:w="467"/>
              <w:gridCol w:w="1147"/>
              <w:gridCol w:w="713"/>
              <w:gridCol w:w="1404"/>
              <w:gridCol w:w="638"/>
            </w:tblGrid>
            <w:tr w14:paraId="67AD3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 w:hRule="atLeast"/>
                <w:jc w:val="center"/>
              </w:trPr>
              <w:tc>
                <w:tcPr>
                  <w:tcW w:w="686" w:type="dxa"/>
                  <w:vMerge w:val="restart"/>
                  <w:tcBorders>
                    <w:top w:val="single" w:color="auto" w:sz="12" w:space="0"/>
                    <w:left w:val="nil"/>
                    <w:bottom w:val="single" w:color="auto" w:sz="4" w:space="0"/>
                    <w:right w:val="single" w:color="auto" w:sz="4" w:space="0"/>
                  </w:tcBorders>
                  <w:vAlign w:val="center"/>
                </w:tcPr>
                <w:p w14:paraId="2FBAE622">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固废</w:t>
                  </w:r>
                </w:p>
                <w:p w14:paraId="5B09BBAC">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名称</w:t>
                  </w:r>
                </w:p>
              </w:tc>
              <w:tc>
                <w:tcPr>
                  <w:tcW w:w="713" w:type="dxa"/>
                  <w:vMerge w:val="restart"/>
                  <w:tcBorders>
                    <w:top w:val="single" w:color="auto" w:sz="12" w:space="0"/>
                    <w:left w:val="single" w:color="auto" w:sz="4" w:space="0"/>
                    <w:bottom w:val="single" w:color="auto" w:sz="4" w:space="0"/>
                    <w:right w:val="single" w:color="auto" w:sz="4" w:space="0"/>
                  </w:tcBorders>
                  <w:vAlign w:val="center"/>
                </w:tcPr>
                <w:p w14:paraId="23A9258F">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产生装置或工艺单元</w:t>
                  </w:r>
                </w:p>
              </w:tc>
              <w:tc>
                <w:tcPr>
                  <w:tcW w:w="467" w:type="dxa"/>
                  <w:vMerge w:val="restart"/>
                  <w:tcBorders>
                    <w:top w:val="single" w:color="auto" w:sz="12" w:space="0"/>
                    <w:left w:val="single" w:color="auto" w:sz="4" w:space="0"/>
                    <w:right w:val="single" w:color="auto" w:sz="4" w:space="0"/>
                  </w:tcBorders>
                  <w:vAlign w:val="center"/>
                </w:tcPr>
                <w:p w14:paraId="6695E516">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固废</w:t>
                  </w:r>
                </w:p>
                <w:p w14:paraId="6D115710">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属性</w:t>
                  </w:r>
                </w:p>
              </w:tc>
              <w:tc>
                <w:tcPr>
                  <w:tcW w:w="1425" w:type="dxa"/>
                  <w:vMerge w:val="restart"/>
                  <w:tcBorders>
                    <w:top w:val="single" w:color="auto" w:sz="12" w:space="0"/>
                    <w:left w:val="single" w:color="auto" w:sz="4" w:space="0"/>
                    <w:right w:val="single" w:color="auto" w:sz="4" w:space="0"/>
                  </w:tcBorders>
                  <w:vAlign w:val="center"/>
                </w:tcPr>
                <w:p w14:paraId="14A639D9">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类别代码</w:t>
                  </w:r>
                </w:p>
              </w:tc>
              <w:tc>
                <w:tcPr>
                  <w:tcW w:w="1614" w:type="dxa"/>
                  <w:gridSpan w:val="2"/>
                  <w:tcBorders>
                    <w:top w:val="single" w:color="auto" w:sz="12" w:space="0"/>
                    <w:left w:val="single" w:color="auto" w:sz="4" w:space="0"/>
                    <w:right w:val="single" w:color="auto" w:sz="4" w:space="0"/>
                  </w:tcBorders>
                  <w:vAlign w:val="center"/>
                </w:tcPr>
                <w:p w14:paraId="6AE0D8B1">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产生情况</w:t>
                  </w:r>
                </w:p>
              </w:tc>
              <w:tc>
                <w:tcPr>
                  <w:tcW w:w="2117" w:type="dxa"/>
                  <w:gridSpan w:val="2"/>
                  <w:tcBorders>
                    <w:top w:val="single" w:color="auto" w:sz="12" w:space="0"/>
                    <w:left w:val="single" w:color="auto" w:sz="4" w:space="0"/>
                    <w:bottom w:val="single" w:color="auto" w:sz="4" w:space="0"/>
                    <w:right w:val="single" w:color="auto" w:sz="4" w:space="0"/>
                  </w:tcBorders>
                  <w:vAlign w:val="center"/>
                </w:tcPr>
                <w:p w14:paraId="3E879792">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处理措施</w:t>
                  </w:r>
                </w:p>
              </w:tc>
              <w:tc>
                <w:tcPr>
                  <w:tcW w:w="638" w:type="dxa"/>
                  <w:vMerge w:val="restart"/>
                  <w:tcBorders>
                    <w:top w:val="single" w:color="auto" w:sz="12" w:space="0"/>
                    <w:left w:val="single" w:color="auto" w:sz="4" w:space="0"/>
                    <w:bottom w:val="single" w:color="auto" w:sz="4" w:space="0"/>
                    <w:right w:val="nil"/>
                  </w:tcBorders>
                  <w:vAlign w:val="center"/>
                </w:tcPr>
                <w:p w14:paraId="34B5CB59">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最终去向</w:t>
                  </w:r>
                </w:p>
              </w:tc>
            </w:tr>
            <w:tr w14:paraId="16D99F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 w:hRule="atLeast"/>
                <w:jc w:val="center"/>
              </w:trPr>
              <w:tc>
                <w:tcPr>
                  <w:tcW w:w="686" w:type="dxa"/>
                  <w:vMerge w:val="continue"/>
                  <w:tcBorders>
                    <w:top w:val="single" w:color="auto" w:sz="12" w:space="0"/>
                    <w:left w:val="nil"/>
                    <w:bottom w:val="single" w:color="auto" w:sz="4" w:space="0"/>
                    <w:right w:val="single" w:color="auto" w:sz="4" w:space="0"/>
                  </w:tcBorders>
                  <w:vAlign w:val="center"/>
                </w:tcPr>
                <w:p w14:paraId="38281F31">
                  <w:pPr>
                    <w:widowControl/>
                    <w:jc w:val="left"/>
                    <w:rPr>
                      <w:rFonts w:eastAsia="宋体"/>
                      <w:snapToGrid w:val="0"/>
                      <w:color w:val="000000" w:themeColor="text1"/>
                      <w:sz w:val="24"/>
                      <w14:textFill>
                        <w14:solidFill>
                          <w14:schemeClr w14:val="tx1"/>
                        </w14:solidFill>
                      </w14:textFill>
                    </w:rPr>
                  </w:pPr>
                </w:p>
              </w:tc>
              <w:tc>
                <w:tcPr>
                  <w:tcW w:w="713" w:type="dxa"/>
                  <w:vMerge w:val="continue"/>
                  <w:tcBorders>
                    <w:top w:val="single" w:color="auto" w:sz="12" w:space="0"/>
                    <w:left w:val="single" w:color="auto" w:sz="4" w:space="0"/>
                    <w:bottom w:val="single" w:color="auto" w:sz="4" w:space="0"/>
                    <w:right w:val="single" w:color="auto" w:sz="4" w:space="0"/>
                  </w:tcBorders>
                  <w:vAlign w:val="center"/>
                </w:tcPr>
                <w:p w14:paraId="7A26191D">
                  <w:pPr>
                    <w:widowControl/>
                    <w:jc w:val="left"/>
                    <w:rPr>
                      <w:rFonts w:eastAsia="宋体"/>
                      <w:snapToGrid w:val="0"/>
                      <w:color w:val="000000" w:themeColor="text1"/>
                      <w:sz w:val="24"/>
                      <w14:textFill>
                        <w14:solidFill>
                          <w14:schemeClr w14:val="tx1"/>
                        </w14:solidFill>
                      </w14:textFill>
                    </w:rPr>
                  </w:pPr>
                </w:p>
              </w:tc>
              <w:tc>
                <w:tcPr>
                  <w:tcW w:w="467" w:type="dxa"/>
                  <w:vMerge w:val="continue"/>
                  <w:tcBorders>
                    <w:left w:val="single" w:color="auto" w:sz="4" w:space="0"/>
                    <w:bottom w:val="single" w:color="auto" w:sz="4" w:space="0"/>
                    <w:right w:val="single" w:color="auto" w:sz="4" w:space="0"/>
                  </w:tcBorders>
                  <w:vAlign w:val="center"/>
                </w:tcPr>
                <w:p w14:paraId="43C0FF38">
                  <w:pPr>
                    <w:adjustRightInd w:val="0"/>
                    <w:snapToGrid w:val="0"/>
                    <w:jc w:val="center"/>
                    <w:rPr>
                      <w:rFonts w:eastAsia="宋体"/>
                      <w:snapToGrid w:val="0"/>
                      <w:color w:val="000000" w:themeColor="text1"/>
                      <w:sz w:val="24"/>
                      <w14:textFill>
                        <w14:solidFill>
                          <w14:schemeClr w14:val="tx1"/>
                        </w14:solidFill>
                      </w14:textFill>
                    </w:rPr>
                  </w:pPr>
                </w:p>
              </w:tc>
              <w:tc>
                <w:tcPr>
                  <w:tcW w:w="1425" w:type="dxa"/>
                  <w:vMerge w:val="continue"/>
                  <w:tcBorders>
                    <w:left w:val="single" w:color="auto" w:sz="4" w:space="0"/>
                    <w:bottom w:val="single" w:color="auto" w:sz="4" w:space="0"/>
                    <w:right w:val="single" w:color="auto" w:sz="4" w:space="0"/>
                  </w:tcBorders>
                  <w:vAlign w:val="center"/>
                </w:tcPr>
                <w:p w14:paraId="33CE19BB">
                  <w:pPr>
                    <w:adjustRightInd w:val="0"/>
                    <w:snapToGrid w:val="0"/>
                    <w:jc w:val="center"/>
                    <w:rPr>
                      <w:rFonts w:eastAsia="宋体"/>
                      <w:snapToGrid w:val="0"/>
                      <w:color w:val="000000" w:themeColor="text1"/>
                      <w:sz w:val="24"/>
                      <w14:textFill>
                        <w14:solidFill>
                          <w14:schemeClr w14:val="tx1"/>
                        </w14:solidFill>
                      </w14:textFill>
                    </w:rPr>
                  </w:pPr>
                </w:p>
              </w:tc>
              <w:tc>
                <w:tcPr>
                  <w:tcW w:w="467" w:type="dxa"/>
                  <w:tcBorders>
                    <w:left w:val="single" w:color="auto" w:sz="4" w:space="0"/>
                    <w:bottom w:val="single" w:color="auto" w:sz="4" w:space="0"/>
                    <w:right w:val="single" w:color="auto" w:sz="4" w:space="0"/>
                  </w:tcBorders>
                  <w:vAlign w:val="center"/>
                </w:tcPr>
                <w:p w14:paraId="0E6FAF64">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核算方法</w:t>
                  </w:r>
                </w:p>
              </w:tc>
              <w:tc>
                <w:tcPr>
                  <w:tcW w:w="1147" w:type="dxa"/>
                  <w:tcBorders>
                    <w:top w:val="single" w:color="auto" w:sz="4" w:space="0"/>
                    <w:left w:val="single" w:color="auto" w:sz="4" w:space="0"/>
                    <w:bottom w:val="single" w:color="auto" w:sz="4" w:space="0"/>
                    <w:right w:val="single" w:color="auto" w:sz="4" w:space="0"/>
                  </w:tcBorders>
                  <w:vAlign w:val="center"/>
                </w:tcPr>
                <w:p w14:paraId="3132B352">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产生                                                                                                                                                                                                                                                                                                                                                                                                                                                                                                                                                                                                                                                                                                                                                                                                                                                                                                                                                                                                                                                                                                                                                                                                                                                                                                                                                                                                                                                                                                                                                                                                                                                                                                                                                                                                                                                                                                                                                                                                                                                                                                                                                                                                                                                                                                                                                                                                                                                                                                                                                                                                                                                                                                                                                                                                                                                                                                                                                                                                              量</w:t>
                  </w:r>
                </w:p>
              </w:tc>
              <w:tc>
                <w:tcPr>
                  <w:tcW w:w="713" w:type="dxa"/>
                  <w:tcBorders>
                    <w:top w:val="single" w:color="auto" w:sz="4" w:space="0"/>
                    <w:left w:val="single" w:color="auto" w:sz="4" w:space="0"/>
                    <w:bottom w:val="single" w:color="auto" w:sz="4" w:space="0"/>
                    <w:right w:val="single" w:color="auto" w:sz="4" w:space="0"/>
                  </w:tcBorders>
                  <w:vAlign w:val="center"/>
                </w:tcPr>
                <w:p w14:paraId="787BC341">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工艺</w:t>
                  </w:r>
                </w:p>
              </w:tc>
              <w:tc>
                <w:tcPr>
                  <w:tcW w:w="1404" w:type="dxa"/>
                  <w:tcBorders>
                    <w:top w:val="single" w:color="auto" w:sz="4" w:space="0"/>
                    <w:left w:val="single" w:color="auto" w:sz="4" w:space="0"/>
                    <w:bottom w:val="single" w:color="auto" w:sz="4" w:space="0"/>
                    <w:right w:val="single" w:color="auto" w:sz="4" w:space="0"/>
                  </w:tcBorders>
                  <w:vAlign w:val="center"/>
                </w:tcPr>
                <w:p w14:paraId="0FCDFC9B">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处置量</w:t>
                  </w:r>
                </w:p>
              </w:tc>
              <w:tc>
                <w:tcPr>
                  <w:tcW w:w="638" w:type="dxa"/>
                  <w:vMerge w:val="continue"/>
                  <w:tcBorders>
                    <w:top w:val="single" w:color="auto" w:sz="12" w:space="0"/>
                    <w:left w:val="single" w:color="auto" w:sz="4" w:space="0"/>
                    <w:bottom w:val="single" w:color="auto" w:sz="4" w:space="0"/>
                    <w:right w:val="nil"/>
                  </w:tcBorders>
                  <w:vAlign w:val="center"/>
                </w:tcPr>
                <w:p w14:paraId="709C6693">
                  <w:pPr>
                    <w:widowControl/>
                    <w:jc w:val="left"/>
                    <w:rPr>
                      <w:rFonts w:eastAsia="宋体"/>
                      <w:snapToGrid w:val="0"/>
                      <w:color w:val="000000" w:themeColor="text1"/>
                      <w:sz w:val="24"/>
                      <w14:textFill>
                        <w14:solidFill>
                          <w14:schemeClr w14:val="tx1"/>
                        </w14:solidFill>
                      </w14:textFill>
                    </w:rPr>
                  </w:pPr>
                </w:p>
              </w:tc>
            </w:tr>
            <w:tr w14:paraId="461487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686" w:type="dxa"/>
                  <w:tcBorders>
                    <w:top w:val="single" w:color="auto" w:sz="4" w:space="0"/>
                    <w:left w:val="nil"/>
                    <w:right w:val="single" w:color="auto" w:sz="4" w:space="0"/>
                  </w:tcBorders>
                  <w:vAlign w:val="center"/>
                </w:tcPr>
                <w:p w14:paraId="3276A42E">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生活垃圾</w:t>
                  </w:r>
                </w:p>
              </w:tc>
              <w:tc>
                <w:tcPr>
                  <w:tcW w:w="713" w:type="dxa"/>
                  <w:tcBorders>
                    <w:top w:val="single" w:color="auto" w:sz="4" w:space="0"/>
                    <w:left w:val="single" w:color="auto" w:sz="4" w:space="0"/>
                    <w:right w:val="single" w:color="auto" w:sz="4" w:space="0"/>
                  </w:tcBorders>
                  <w:vAlign w:val="center"/>
                </w:tcPr>
                <w:p w14:paraId="3A53A906">
                  <w:pPr>
                    <w:adjustRightInd w:val="0"/>
                    <w:snapToGrid w:val="0"/>
                    <w:jc w:val="center"/>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职工生活办公</w:t>
                  </w:r>
                </w:p>
              </w:tc>
              <w:tc>
                <w:tcPr>
                  <w:tcW w:w="467" w:type="dxa"/>
                  <w:tcBorders>
                    <w:top w:val="single" w:color="auto" w:sz="4" w:space="0"/>
                    <w:left w:val="single" w:color="auto" w:sz="4" w:space="0"/>
                    <w:right w:val="single" w:color="auto" w:sz="4" w:space="0"/>
                  </w:tcBorders>
                  <w:vAlign w:val="center"/>
                </w:tcPr>
                <w:p w14:paraId="6E20CFB5">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生活垃圾</w:t>
                  </w:r>
                </w:p>
              </w:tc>
              <w:tc>
                <w:tcPr>
                  <w:tcW w:w="1425" w:type="dxa"/>
                  <w:tcBorders>
                    <w:top w:val="single" w:color="auto" w:sz="4" w:space="0"/>
                    <w:left w:val="single" w:color="auto" w:sz="4" w:space="0"/>
                    <w:bottom w:val="single" w:color="auto" w:sz="4" w:space="0"/>
                    <w:right w:val="single" w:color="auto" w:sz="4" w:space="0"/>
                  </w:tcBorders>
                  <w:vAlign w:val="center"/>
                </w:tcPr>
                <w:p w14:paraId="68FAFC5A">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w:t>
                  </w:r>
                </w:p>
              </w:tc>
              <w:tc>
                <w:tcPr>
                  <w:tcW w:w="467" w:type="dxa"/>
                  <w:tcBorders>
                    <w:top w:val="single" w:color="auto" w:sz="4" w:space="0"/>
                    <w:left w:val="single" w:color="auto" w:sz="4" w:space="0"/>
                    <w:bottom w:val="single" w:color="auto" w:sz="4" w:space="0"/>
                    <w:right w:val="single" w:color="auto" w:sz="4" w:space="0"/>
                  </w:tcBorders>
                  <w:vAlign w:val="center"/>
                </w:tcPr>
                <w:p w14:paraId="50CBB9F4">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类比法</w:t>
                  </w:r>
                </w:p>
              </w:tc>
              <w:tc>
                <w:tcPr>
                  <w:tcW w:w="1147" w:type="dxa"/>
                  <w:tcBorders>
                    <w:top w:val="single" w:color="auto" w:sz="4" w:space="0"/>
                    <w:left w:val="single" w:color="auto" w:sz="4" w:space="0"/>
                    <w:bottom w:val="single" w:color="auto" w:sz="4" w:space="0"/>
                    <w:right w:val="single" w:color="auto" w:sz="4" w:space="0"/>
                  </w:tcBorders>
                  <w:vAlign w:val="center"/>
                </w:tcPr>
                <w:p w14:paraId="04892E79">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1.2t/a</w:t>
                  </w:r>
                </w:p>
              </w:tc>
              <w:tc>
                <w:tcPr>
                  <w:tcW w:w="713" w:type="dxa"/>
                  <w:tcBorders>
                    <w:top w:val="single" w:color="auto" w:sz="4" w:space="0"/>
                    <w:left w:val="single" w:color="auto" w:sz="4" w:space="0"/>
                    <w:bottom w:val="single" w:color="auto" w:sz="4" w:space="0"/>
                    <w:right w:val="single" w:color="auto" w:sz="4" w:space="0"/>
                  </w:tcBorders>
                  <w:vAlign w:val="center"/>
                </w:tcPr>
                <w:p w14:paraId="67B1605D">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市政部门统一清运处理</w:t>
                  </w:r>
                </w:p>
              </w:tc>
              <w:tc>
                <w:tcPr>
                  <w:tcW w:w="1404" w:type="dxa"/>
                  <w:tcBorders>
                    <w:top w:val="single" w:color="auto" w:sz="4" w:space="0"/>
                    <w:left w:val="single" w:color="auto" w:sz="4" w:space="0"/>
                    <w:bottom w:val="single" w:color="auto" w:sz="4" w:space="0"/>
                    <w:right w:val="single" w:color="auto" w:sz="4" w:space="0"/>
                  </w:tcBorders>
                  <w:vAlign w:val="center"/>
                </w:tcPr>
                <w:p w14:paraId="2931C64C">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1.2t/a</w:t>
                  </w:r>
                </w:p>
              </w:tc>
              <w:tc>
                <w:tcPr>
                  <w:tcW w:w="638" w:type="dxa"/>
                  <w:tcBorders>
                    <w:top w:val="single" w:color="auto" w:sz="4" w:space="0"/>
                    <w:left w:val="single" w:color="auto" w:sz="4" w:space="0"/>
                    <w:bottom w:val="single" w:color="auto" w:sz="4" w:space="0"/>
                    <w:right w:val="nil"/>
                  </w:tcBorders>
                  <w:vAlign w:val="center"/>
                </w:tcPr>
                <w:p w14:paraId="52267EF4">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市政环卫部门统一处置</w:t>
                  </w:r>
                </w:p>
              </w:tc>
            </w:tr>
            <w:tr w14:paraId="39079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86" w:type="dxa"/>
                  <w:tcBorders>
                    <w:top w:val="single" w:color="auto" w:sz="4" w:space="0"/>
                    <w:left w:val="nil"/>
                    <w:right w:val="single" w:color="auto" w:sz="4" w:space="0"/>
                  </w:tcBorders>
                  <w:vAlign w:val="center"/>
                </w:tcPr>
                <w:p w14:paraId="51D45D78">
                  <w:pPr>
                    <w:pStyle w:val="73"/>
                    <w:adjustRightInd w:val="0"/>
                    <w:snapToGrid w:val="0"/>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除尘器收尘</w:t>
                  </w:r>
                </w:p>
              </w:tc>
              <w:tc>
                <w:tcPr>
                  <w:tcW w:w="713" w:type="dxa"/>
                  <w:tcBorders>
                    <w:top w:val="single" w:color="auto" w:sz="4" w:space="0"/>
                    <w:left w:val="single" w:color="auto" w:sz="4" w:space="0"/>
                    <w:bottom w:val="single" w:color="auto" w:sz="4" w:space="0"/>
                    <w:right w:val="single" w:color="auto" w:sz="4" w:space="0"/>
                  </w:tcBorders>
                  <w:vAlign w:val="center"/>
                </w:tcPr>
                <w:p w14:paraId="5F0E924C">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生产车间</w:t>
                  </w:r>
                </w:p>
              </w:tc>
              <w:tc>
                <w:tcPr>
                  <w:tcW w:w="467" w:type="dxa"/>
                  <w:vMerge w:val="restart"/>
                  <w:tcBorders>
                    <w:top w:val="single" w:color="auto" w:sz="4" w:space="0"/>
                    <w:left w:val="single" w:color="auto" w:sz="4" w:space="0"/>
                    <w:right w:val="single" w:color="auto" w:sz="4" w:space="0"/>
                  </w:tcBorders>
                  <w:vAlign w:val="center"/>
                </w:tcPr>
                <w:p w14:paraId="43984CD3">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一般工业固体废物</w:t>
                  </w:r>
                </w:p>
              </w:tc>
              <w:tc>
                <w:tcPr>
                  <w:tcW w:w="1425" w:type="dxa"/>
                  <w:tcBorders>
                    <w:top w:val="single" w:color="auto" w:sz="4" w:space="0"/>
                    <w:left w:val="single" w:color="auto" w:sz="4" w:space="0"/>
                    <w:bottom w:val="single" w:color="auto" w:sz="4" w:space="0"/>
                    <w:right w:val="single" w:color="auto" w:sz="4" w:space="0"/>
                  </w:tcBorders>
                  <w:vAlign w:val="center"/>
                </w:tcPr>
                <w:p w14:paraId="304F5159">
                  <w:pPr>
                    <w:adjustRightInd w:val="0"/>
                    <w:snapToGrid w:val="0"/>
                    <w:jc w:val="center"/>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262-004-66</w:t>
                  </w:r>
                </w:p>
              </w:tc>
              <w:tc>
                <w:tcPr>
                  <w:tcW w:w="467" w:type="dxa"/>
                  <w:tcBorders>
                    <w:top w:val="single" w:color="auto" w:sz="4" w:space="0"/>
                    <w:left w:val="single" w:color="auto" w:sz="4" w:space="0"/>
                    <w:right w:val="single" w:color="auto" w:sz="4" w:space="0"/>
                  </w:tcBorders>
                  <w:vAlign w:val="center"/>
                </w:tcPr>
                <w:p w14:paraId="31DA03C5">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系数法</w:t>
                  </w:r>
                </w:p>
              </w:tc>
              <w:tc>
                <w:tcPr>
                  <w:tcW w:w="1147" w:type="dxa"/>
                  <w:tcBorders>
                    <w:top w:val="single" w:color="auto" w:sz="4" w:space="0"/>
                    <w:left w:val="single" w:color="auto" w:sz="4" w:space="0"/>
                    <w:right w:val="single" w:color="auto" w:sz="4" w:space="0"/>
                  </w:tcBorders>
                  <w:shd w:val="clear" w:color="auto" w:fill="auto"/>
                  <w:vAlign w:val="center"/>
                </w:tcPr>
                <w:p w14:paraId="7D76745E">
                  <w:pPr>
                    <w:adjustRightInd w:val="0"/>
                    <w:snapToGrid w:val="0"/>
                    <w:jc w:val="center"/>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14.97t/a</w:t>
                  </w:r>
                </w:p>
              </w:tc>
              <w:tc>
                <w:tcPr>
                  <w:tcW w:w="713" w:type="dxa"/>
                  <w:tcBorders>
                    <w:top w:val="single" w:color="auto" w:sz="4" w:space="0"/>
                    <w:left w:val="single" w:color="auto" w:sz="4" w:space="0"/>
                    <w:right w:val="single" w:color="auto" w:sz="4" w:space="0"/>
                  </w:tcBorders>
                  <w:shd w:val="clear" w:color="auto" w:fill="auto"/>
                  <w:vAlign w:val="center"/>
                </w:tcPr>
                <w:p w14:paraId="7B072B17">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集中收集回用于生产</w:t>
                  </w:r>
                </w:p>
              </w:tc>
              <w:tc>
                <w:tcPr>
                  <w:tcW w:w="1404" w:type="dxa"/>
                  <w:tcBorders>
                    <w:top w:val="single" w:color="auto" w:sz="4" w:space="0"/>
                    <w:left w:val="single" w:color="auto" w:sz="4" w:space="0"/>
                    <w:right w:val="single" w:color="auto" w:sz="4" w:space="0"/>
                  </w:tcBorders>
                  <w:shd w:val="clear" w:color="auto" w:fill="auto"/>
                  <w:vAlign w:val="center"/>
                </w:tcPr>
                <w:p w14:paraId="7AFF3B30">
                  <w:pPr>
                    <w:adjustRightInd w:val="0"/>
                    <w:snapToGrid w:val="0"/>
                    <w:jc w:val="center"/>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14.97t/a</w:t>
                  </w:r>
                </w:p>
              </w:tc>
              <w:tc>
                <w:tcPr>
                  <w:tcW w:w="638" w:type="dxa"/>
                  <w:tcBorders>
                    <w:top w:val="single" w:color="auto" w:sz="4" w:space="0"/>
                    <w:left w:val="single" w:color="auto" w:sz="4" w:space="0"/>
                    <w:right w:val="nil"/>
                  </w:tcBorders>
                  <w:vAlign w:val="center"/>
                </w:tcPr>
                <w:p w14:paraId="7D096859">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集中收集回用于生产</w:t>
                  </w:r>
                </w:p>
              </w:tc>
            </w:tr>
            <w:tr w14:paraId="295864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tcBorders>
                    <w:top w:val="single" w:color="auto" w:sz="4" w:space="0"/>
                    <w:left w:val="nil"/>
                    <w:bottom w:val="single" w:color="auto" w:sz="4" w:space="0"/>
                    <w:right w:val="single" w:color="auto" w:sz="4" w:space="0"/>
                  </w:tcBorders>
                  <w:vAlign w:val="center"/>
                </w:tcPr>
                <w:p w14:paraId="4908E30C">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废包装袋</w:t>
                  </w:r>
                </w:p>
              </w:tc>
              <w:tc>
                <w:tcPr>
                  <w:tcW w:w="713" w:type="dxa"/>
                  <w:tcBorders>
                    <w:top w:val="single" w:color="auto" w:sz="4" w:space="0"/>
                    <w:left w:val="single" w:color="auto" w:sz="4" w:space="0"/>
                    <w:bottom w:val="single" w:color="auto" w:sz="4" w:space="0"/>
                    <w:right w:val="single" w:color="auto" w:sz="4" w:space="0"/>
                  </w:tcBorders>
                  <w:vAlign w:val="center"/>
                </w:tcPr>
                <w:p w14:paraId="47E62B00">
                  <w:pPr>
                    <w:adjustRightInd w:val="0"/>
                    <w:snapToGrid w:val="0"/>
                    <w:jc w:val="center"/>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生产车间</w:t>
                  </w:r>
                </w:p>
              </w:tc>
              <w:tc>
                <w:tcPr>
                  <w:tcW w:w="467" w:type="dxa"/>
                  <w:vMerge w:val="continue"/>
                  <w:tcBorders>
                    <w:left w:val="single" w:color="auto" w:sz="4" w:space="0"/>
                    <w:right w:val="single" w:color="auto" w:sz="4" w:space="0"/>
                  </w:tcBorders>
                  <w:vAlign w:val="center"/>
                </w:tcPr>
                <w:p w14:paraId="0D22F91D">
                  <w:pPr>
                    <w:adjustRightInd w:val="0"/>
                    <w:snapToGrid w:val="0"/>
                    <w:jc w:val="center"/>
                    <w:rPr>
                      <w:rFonts w:eastAsia="宋体"/>
                      <w:snapToGrid w:val="0"/>
                      <w:color w:val="000000" w:themeColor="text1"/>
                      <w:sz w:val="24"/>
                      <w14:textFill>
                        <w14:solidFill>
                          <w14:schemeClr w14:val="tx1"/>
                        </w14:solidFill>
                      </w14:textFill>
                    </w:rPr>
                  </w:pPr>
                </w:p>
              </w:tc>
              <w:tc>
                <w:tcPr>
                  <w:tcW w:w="1425" w:type="dxa"/>
                  <w:tcBorders>
                    <w:top w:val="single" w:color="auto" w:sz="4" w:space="0"/>
                    <w:left w:val="single" w:color="auto" w:sz="4" w:space="0"/>
                    <w:bottom w:val="single" w:color="auto" w:sz="4" w:space="0"/>
                    <w:right w:val="single" w:color="auto" w:sz="4" w:space="0"/>
                  </w:tcBorders>
                  <w:vAlign w:val="center"/>
                </w:tcPr>
                <w:p w14:paraId="377D1672">
                  <w:pPr>
                    <w:adjustRightInd w:val="0"/>
                    <w:snapToGrid w:val="0"/>
                    <w:jc w:val="center"/>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262-004-06</w:t>
                  </w:r>
                </w:p>
              </w:tc>
              <w:tc>
                <w:tcPr>
                  <w:tcW w:w="467" w:type="dxa"/>
                  <w:tcBorders>
                    <w:top w:val="single" w:color="auto" w:sz="4" w:space="0"/>
                    <w:left w:val="single" w:color="auto" w:sz="4" w:space="0"/>
                    <w:bottom w:val="single" w:color="auto" w:sz="4" w:space="0"/>
                    <w:right w:val="single" w:color="auto" w:sz="4" w:space="0"/>
                  </w:tcBorders>
                  <w:vAlign w:val="center"/>
                </w:tcPr>
                <w:p w14:paraId="253B1D30">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类比法</w:t>
                  </w:r>
                </w:p>
              </w:tc>
              <w:tc>
                <w:tcPr>
                  <w:tcW w:w="1147" w:type="dxa"/>
                  <w:tcBorders>
                    <w:top w:val="single" w:color="auto" w:sz="4" w:space="0"/>
                    <w:left w:val="single" w:color="auto" w:sz="4" w:space="0"/>
                    <w:bottom w:val="single" w:color="auto" w:sz="4" w:space="0"/>
                    <w:right w:val="single" w:color="auto" w:sz="4" w:space="0"/>
                  </w:tcBorders>
                  <w:vAlign w:val="center"/>
                </w:tcPr>
                <w:p w14:paraId="6500B376">
                  <w:pPr>
                    <w:adjustRightInd w:val="0"/>
                    <w:snapToGrid w:val="0"/>
                    <w:jc w:val="center"/>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0.5t/a</w:t>
                  </w:r>
                </w:p>
              </w:tc>
              <w:tc>
                <w:tcPr>
                  <w:tcW w:w="713" w:type="dxa"/>
                  <w:tcBorders>
                    <w:top w:val="single" w:color="auto" w:sz="4" w:space="0"/>
                    <w:left w:val="single" w:color="auto" w:sz="4" w:space="0"/>
                    <w:bottom w:val="single" w:color="auto" w:sz="4" w:space="0"/>
                    <w:right w:val="single" w:color="auto" w:sz="4" w:space="0"/>
                  </w:tcBorders>
                  <w:vAlign w:val="center"/>
                </w:tcPr>
                <w:p w14:paraId="0750FC5E">
                  <w:pPr>
                    <w:adjustRightInd w:val="0"/>
                    <w:snapToGrid w:val="0"/>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外售综合利用</w:t>
                  </w:r>
                </w:p>
              </w:tc>
              <w:tc>
                <w:tcPr>
                  <w:tcW w:w="1404" w:type="dxa"/>
                  <w:tcBorders>
                    <w:top w:val="single" w:color="auto" w:sz="4" w:space="0"/>
                    <w:left w:val="single" w:color="auto" w:sz="4" w:space="0"/>
                    <w:bottom w:val="single" w:color="auto" w:sz="4" w:space="0"/>
                    <w:right w:val="single" w:color="auto" w:sz="4" w:space="0"/>
                  </w:tcBorders>
                  <w:vAlign w:val="center"/>
                </w:tcPr>
                <w:p w14:paraId="1A9EEE3C">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0.5t/a</w:t>
                  </w:r>
                </w:p>
              </w:tc>
              <w:tc>
                <w:tcPr>
                  <w:tcW w:w="638" w:type="dxa"/>
                  <w:tcBorders>
                    <w:top w:val="single" w:color="auto" w:sz="4" w:space="0"/>
                    <w:left w:val="single" w:color="auto" w:sz="4" w:space="0"/>
                    <w:bottom w:val="single" w:color="auto" w:sz="4" w:space="0"/>
                    <w:right w:val="nil"/>
                  </w:tcBorders>
                  <w:vAlign w:val="center"/>
                </w:tcPr>
                <w:p w14:paraId="4FD8F387">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厂家定期回收</w:t>
                  </w:r>
                </w:p>
              </w:tc>
            </w:tr>
            <w:tr w14:paraId="6C7F2E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tcBorders>
                    <w:top w:val="single" w:color="auto" w:sz="4" w:space="0"/>
                    <w:left w:val="nil"/>
                    <w:bottom w:val="single" w:color="auto" w:sz="4" w:space="0"/>
                    <w:right w:val="single" w:color="auto" w:sz="4" w:space="0"/>
                  </w:tcBorders>
                  <w:vAlign w:val="center"/>
                </w:tcPr>
                <w:p w14:paraId="2DC33B71">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废布袋</w:t>
                  </w:r>
                </w:p>
              </w:tc>
              <w:tc>
                <w:tcPr>
                  <w:tcW w:w="713" w:type="dxa"/>
                  <w:tcBorders>
                    <w:top w:val="single" w:color="auto" w:sz="4" w:space="0"/>
                    <w:left w:val="single" w:color="auto" w:sz="4" w:space="0"/>
                    <w:bottom w:val="single" w:color="auto" w:sz="4" w:space="0"/>
                    <w:right w:val="single" w:color="auto" w:sz="4" w:space="0"/>
                  </w:tcBorders>
                  <w:vAlign w:val="center"/>
                </w:tcPr>
                <w:p w14:paraId="784D485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布袋除尘器</w:t>
                  </w:r>
                </w:p>
              </w:tc>
              <w:tc>
                <w:tcPr>
                  <w:tcW w:w="467" w:type="dxa"/>
                  <w:vMerge w:val="continue"/>
                  <w:tcBorders>
                    <w:left w:val="single" w:color="auto" w:sz="4" w:space="0"/>
                    <w:right w:val="single" w:color="auto" w:sz="4" w:space="0"/>
                  </w:tcBorders>
                  <w:vAlign w:val="center"/>
                </w:tcPr>
                <w:p w14:paraId="60A1C725">
                  <w:pPr>
                    <w:adjustRightInd w:val="0"/>
                    <w:snapToGrid w:val="0"/>
                    <w:jc w:val="center"/>
                    <w:rPr>
                      <w:rFonts w:eastAsia="宋体"/>
                      <w:snapToGrid w:val="0"/>
                      <w:color w:val="000000" w:themeColor="text1"/>
                      <w:sz w:val="24"/>
                      <w14:textFill>
                        <w14:solidFill>
                          <w14:schemeClr w14:val="tx1"/>
                        </w14:solidFill>
                      </w14:textFill>
                    </w:rPr>
                  </w:pPr>
                </w:p>
              </w:tc>
              <w:tc>
                <w:tcPr>
                  <w:tcW w:w="1425" w:type="dxa"/>
                  <w:tcBorders>
                    <w:top w:val="single" w:color="auto" w:sz="4" w:space="0"/>
                    <w:left w:val="single" w:color="auto" w:sz="4" w:space="0"/>
                    <w:bottom w:val="single" w:color="auto" w:sz="4" w:space="0"/>
                    <w:right w:val="single" w:color="auto" w:sz="4" w:space="0"/>
                  </w:tcBorders>
                  <w:vAlign w:val="center"/>
                </w:tcPr>
                <w:p w14:paraId="40016F27">
                  <w:pPr>
                    <w:adjustRightInd w:val="0"/>
                    <w:snapToGrid w:val="0"/>
                    <w:jc w:val="center"/>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900-999-99</w:t>
                  </w:r>
                </w:p>
              </w:tc>
              <w:tc>
                <w:tcPr>
                  <w:tcW w:w="467" w:type="dxa"/>
                  <w:tcBorders>
                    <w:top w:val="single" w:color="auto" w:sz="4" w:space="0"/>
                    <w:left w:val="single" w:color="auto" w:sz="4" w:space="0"/>
                    <w:bottom w:val="single" w:color="auto" w:sz="4" w:space="0"/>
                    <w:right w:val="single" w:color="auto" w:sz="4" w:space="0"/>
                  </w:tcBorders>
                  <w:vAlign w:val="center"/>
                </w:tcPr>
                <w:p w14:paraId="1405D628">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类比法</w:t>
                  </w:r>
                </w:p>
              </w:tc>
              <w:tc>
                <w:tcPr>
                  <w:tcW w:w="1147" w:type="dxa"/>
                  <w:tcBorders>
                    <w:top w:val="single" w:color="auto" w:sz="4" w:space="0"/>
                    <w:left w:val="single" w:color="auto" w:sz="4" w:space="0"/>
                    <w:bottom w:val="single" w:color="auto" w:sz="4" w:space="0"/>
                    <w:right w:val="single" w:color="auto" w:sz="4" w:space="0"/>
                  </w:tcBorders>
                  <w:vAlign w:val="center"/>
                </w:tcPr>
                <w:p w14:paraId="6CD739AA">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0.1t/a</w:t>
                  </w:r>
                </w:p>
              </w:tc>
              <w:tc>
                <w:tcPr>
                  <w:tcW w:w="713" w:type="dxa"/>
                  <w:tcBorders>
                    <w:top w:val="single" w:color="auto" w:sz="4" w:space="0"/>
                    <w:left w:val="single" w:color="auto" w:sz="4" w:space="0"/>
                    <w:bottom w:val="single" w:color="auto" w:sz="4" w:space="0"/>
                    <w:right w:val="single" w:color="auto" w:sz="4" w:space="0"/>
                  </w:tcBorders>
                  <w:vAlign w:val="center"/>
                </w:tcPr>
                <w:p w14:paraId="1D70A23A">
                  <w:pPr>
                    <w:adjustRightInd w:val="0"/>
                    <w:snapToGrid w:val="0"/>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厂家定期回收</w:t>
                  </w:r>
                </w:p>
              </w:tc>
              <w:tc>
                <w:tcPr>
                  <w:tcW w:w="1404" w:type="dxa"/>
                  <w:tcBorders>
                    <w:top w:val="single" w:color="auto" w:sz="4" w:space="0"/>
                    <w:left w:val="single" w:color="auto" w:sz="4" w:space="0"/>
                    <w:bottom w:val="single" w:color="auto" w:sz="4" w:space="0"/>
                    <w:right w:val="single" w:color="auto" w:sz="4" w:space="0"/>
                  </w:tcBorders>
                  <w:vAlign w:val="center"/>
                </w:tcPr>
                <w:p w14:paraId="73298F9C">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0.1t/a</w:t>
                  </w:r>
                </w:p>
              </w:tc>
              <w:tc>
                <w:tcPr>
                  <w:tcW w:w="638" w:type="dxa"/>
                  <w:tcBorders>
                    <w:top w:val="single" w:color="auto" w:sz="4" w:space="0"/>
                    <w:left w:val="single" w:color="auto" w:sz="4" w:space="0"/>
                    <w:bottom w:val="single" w:color="auto" w:sz="4" w:space="0"/>
                    <w:right w:val="nil"/>
                  </w:tcBorders>
                  <w:vAlign w:val="center"/>
                </w:tcPr>
                <w:p w14:paraId="7AD96A09">
                  <w:pPr>
                    <w:adjustRightInd w:val="0"/>
                    <w:snapToGrid w:val="0"/>
                    <w:jc w:val="center"/>
                    <w:rPr>
                      <w:rFonts w:eastAsia="宋体"/>
                      <w:snapToGrid w:val="0"/>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厂家定期回收</w:t>
                  </w:r>
                </w:p>
              </w:tc>
            </w:tr>
          </w:tbl>
          <w:p w14:paraId="48956A36">
            <w:pPr>
              <w:pStyle w:val="178"/>
              <w:spacing w:line="360" w:lineRule="auto"/>
              <w:ind w:firstLine="480"/>
              <w:jc w:val="both"/>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在落实上述处置措施后，项目产生的固体废物都能得到妥善处置，不会造成二次污染，对周围环境不会造成影响。</w:t>
            </w:r>
          </w:p>
          <w:p w14:paraId="27AFA522">
            <w:pPr>
              <w:pStyle w:val="11"/>
              <w:numPr>
                <w:ilvl w:val="0"/>
                <w:numId w:val="1"/>
              </w:numPr>
              <w:spacing w:line="360" w:lineRule="auto"/>
              <w:ind w:firstLine="482" w:firstLineChars="200"/>
              <w:rPr>
                <w:rFonts w:eastAsia="宋体"/>
                <w:b/>
                <w:bCs/>
                <w:color w:val="000000" w:themeColor="text1"/>
                <w:kern w:val="2"/>
                <w:sz w:val="24"/>
                <w:szCs w:val="24"/>
                <w14:textFill>
                  <w14:solidFill>
                    <w14:schemeClr w14:val="tx1"/>
                  </w14:solidFill>
                </w14:textFill>
              </w:rPr>
            </w:pPr>
            <w:r>
              <w:rPr>
                <w:rFonts w:eastAsia="宋体"/>
                <w:b/>
                <w:bCs/>
                <w:color w:val="000000" w:themeColor="text1"/>
                <w:kern w:val="2"/>
                <w:sz w:val="24"/>
                <w:szCs w:val="24"/>
                <w14:textFill>
                  <w14:solidFill>
                    <w14:schemeClr w14:val="tx1"/>
                  </w14:solidFill>
                </w14:textFill>
              </w:rPr>
              <w:t>环境风险分析</w:t>
            </w:r>
          </w:p>
          <w:p w14:paraId="2FCB8CF3">
            <w:pPr>
              <w:pStyle w:val="11"/>
              <w:spacing w:line="360" w:lineRule="auto"/>
              <w:ind w:firstLine="512" w:firstLineChars="200"/>
              <w:rPr>
                <w:rFonts w:eastAsia="宋体"/>
                <w:b/>
                <w:bCs/>
                <w:color w:val="000000" w:themeColor="text1"/>
                <w:sz w:val="24"/>
                <w:szCs w:val="24"/>
                <w14:textFill>
                  <w14:solidFill>
                    <w14:schemeClr w14:val="tx1"/>
                  </w14:solidFill>
                </w14:textFill>
              </w:rPr>
            </w:pPr>
            <w:r>
              <w:rPr>
                <w:rFonts w:eastAsia="宋体"/>
                <w:color w:val="000000" w:themeColor="text1"/>
                <w:spacing w:val="8"/>
                <w:sz w:val="24"/>
                <w:szCs w:val="32"/>
                <w14:textFill>
                  <w14:solidFill>
                    <w14:schemeClr w14:val="tx1"/>
                  </w14:solidFill>
                </w14:textFill>
              </w:rPr>
              <w:t>本项目环境风险物质为硫酸铵，企业在严格落实评价报告提出的各项环境污染防治措施、风险防范措施、环境风险安全管理对策及制定相应的突发环境事件应急预案、严格遵守有关主管部门环境风险防范要求之后，能够最大限度地降低事故发生的概率，环境风险影响属于可接受水平。环境风险分析详见环境风险专项评价报告。</w:t>
            </w:r>
          </w:p>
          <w:p w14:paraId="73CD9154">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六、地下水、土壤</w:t>
            </w:r>
          </w:p>
          <w:p w14:paraId="6F8306CA">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本项目不涉及集中式饮用水水源和热水、矿泉水、温泉等特殊地下水资源保护区，且项目周边不存在土壤环境敏感目标，不需开展土壤及地下水专项评价。 本项目原料和产品均不涉及有毒有害危险品。厂区主要存放生物质压块燃料，厂区热风炉房、生物质燃料房、灰渣库地面均硬化，因此，项目运行过程中不会对地下水及土壤造成污染。</w:t>
            </w:r>
          </w:p>
          <w:p w14:paraId="1094D9BD">
            <w:pPr>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七、生态</w:t>
            </w:r>
          </w:p>
          <w:p w14:paraId="42C9B51E">
            <w:pPr>
              <w:adjustRightInd w:val="0"/>
              <w:snapToGrid w:val="0"/>
              <w:spacing w:line="500" w:lineRule="exact"/>
              <w:ind w:firstLine="480" w:firstLineChars="20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本项目占地范围内无特殊生态敏感区及重要生态敏感区等生态环境保护目标，对周边生态环境影响较小，无需设置相应生态环境保护措施。</w:t>
            </w:r>
          </w:p>
        </w:tc>
      </w:tr>
    </w:tbl>
    <w:p w14:paraId="10EB4322">
      <w:pPr>
        <w:adjustRightInd w:val="0"/>
        <w:snapToGrid w:val="0"/>
        <w:spacing w:line="360" w:lineRule="auto"/>
        <w:rPr>
          <w:rFonts w:eastAsia="宋体"/>
          <w:b/>
          <w:color w:val="000000" w:themeColor="text1"/>
          <w:kern w:val="0"/>
          <w:sz w:val="24"/>
          <w14:textFill>
            <w14:solidFill>
              <w14:schemeClr w14:val="tx1"/>
            </w14:solidFill>
          </w14:textFill>
        </w:rPr>
        <w:sectPr>
          <w:pgSz w:w="11907" w:h="16840"/>
          <w:pgMar w:top="1440" w:right="1800" w:bottom="2268" w:left="1800" w:header="851" w:footer="992" w:gutter="0"/>
          <w:cols w:space="720" w:num="1"/>
          <w:docGrid w:linePitch="312" w:charSpace="0"/>
        </w:sectPr>
      </w:pPr>
    </w:p>
    <w:p w14:paraId="1B86276C">
      <w:pPr>
        <w:pStyle w:val="28"/>
        <w:adjustRightInd w:val="0"/>
        <w:snapToGrid w:val="0"/>
        <w:spacing w:before="0" w:beforeAutospacing="0" w:after="0" w:afterAutospacing="0" w:line="500" w:lineRule="exact"/>
        <w:jc w:val="center"/>
        <w:outlineLvl w:val="0"/>
        <w:rPr>
          <w:rFonts w:ascii="Times New Roman" w:hAnsi="Times New Roman" w:eastAsia="宋体"/>
          <w:b/>
          <w:bCs/>
          <w:snapToGrid w:val="0"/>
          <w:color w:val="000000" w:themeColor="text1"/>
          <w:szCs w:val="24"/>
          <w14:textFill>
            <w14:solidFill>
              <w14:schemeClr w14:val="tx1"/>
            </w14:solidFill>
          </w14:textFill>
        </w:rPr>
      </w:pPr>
      <w:bookmarkStart w:id="44" w:name="_Toc591"/>
      <w:r>
        <w:rPr>
          <w:rFonts w:ascii="Times New Roman" w:hAnsi="Times New Roman" w:eastAsia="宋体"/>
          <w:b/>
          <w:bCs/>
          <w:snapToGrid w:val="0"/>
          <w:color w:val="000000" w:themeColor="text1"/>
          <w:szCs w:val="24"/>
          <w14:textFill>
            <w14:solidFill>
              <w14:schemeClr w14:val="tx1"/>
            </w14:solidFill>
          </w14:textFill>
        </w:rPr>
        <w:t>五、</w:t>
      </w:r>
      <w:bookmarkStart w:id="45" w:name="_Hlk54167917"/>
      <w:r>
        <w:rPr>
          <w:rFonts w:ascii="Times New Roman" w:hAnsi="Times New Roman" w:eastAsia="宋体"/>
          <w:b/>
          <w:bCs/>
          <w:snapToGrid w:val="0"/>
          <w:color w:val="000000" w:themeColor="text1"/>
          <w:szCs w:val="24"/>
          <w14:textFill>
            <w14:solidFill>
              <w14:schemeClr w14:val="tx1"/>
            </w14:solidFill>
          </w14:textFill>
        </w:rPr>
        <w:t>环境保护措施监督检查清单</w:t>
      </w:r>
      <w:bookmarkEnd w:id="44"/>
      <w:bookmarkEnd w:id="45"/>
    </w:p>
    <w:tbl>
      <w:tblPr>
        <w:tblStyle w:val="3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1437"/>
        <w:gridCol w:w="1737"/>
        <w:gridCol w:w="2169"/>
        <w:gridCol w:w="2192"/>
      </w:tblGrid>
      <w:tr w14:paraId="4B8AE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79" w:type="pct"/>
            <w:tcBorders>
              <w:top w:val="single" w:color="auto" w:sz="12" w:space="0"/>
              <w:left w:val="single" w:color="auto" w:sz="12" w:space="0"/>
              <w:bottom w:val="single" w:color="auto" w:sz="4" w:space="0"/>
              <w:tl2br w:val="single" w:color="auto" w:sz="4" w:space="0"/>
            </w:tcBorders>
          </w:tcPr>
          <w:p w14:paraId="530E3863">
            <w:pPr>
              <w:adjustRightInd w:val="0"/>
              <w:snapToGrid w:val="0"/>
              <w:ind w:firstLine="241" w:firstLineChars="100"/>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内容</w:t>
            </w:r>
          </w:p>
          <w:p w14:paraId="13C5EFB2">
            <w:pPr>
              <w:adjustRightInd w:val="0"/>
              <w:snapToGrid w:val="0"/>
              <w:rPr>
                <w:rFonts w:eastAsia="宋体"/>
                <w:b/>
                <w:color w:val="000000" w:themeColor="text1"/>
                <w:sz w:val="24"/>
                <w14:textFill>
                  <w14:solidFill>
                    <w14:schemeClr w14:val="tx1"/>
                  </w14:solidFill>
                </w14:textFill>
              </w:rPr>
            </w:pPr>
          </w:p>
          <w:p w14:paraId="039B68C5">
            <w:pPr>
              <w:adjustRightInd w:val="0"/>
              <w:snapToGrid w:val="0"/>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要素</w:t>
            </w:r>
          </w:p>
        </w:tc>
        <w:tc>
          <w:tcPr>
            <w:tcW w:w="843" w:type="pct"/>
            <w:tcBorders>
              <w:top w:val="single" w:color="auto" w:sz="12" w:space="0"/>
              <w:bottom w:val="single" w:color="auto" w:sz="4" w:space="0"/>
            </w:tcBorders>
            <w:vAlign w:val="center"/>
          </w:tcPr>
          <w:p w14:paraId="6F8E0139">
            <w:pPr>
              <w:adjustRightInd w:val="0"/>
              <w:snapToGrid w:val="0"/>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排放口（编号、名称）/污染源</w:t>
            </w:r>
          </w:p>
        </w:tc>
        <w:tc>
          <w:tcPr>
            <w:tcW w:w="1019" w:type="pct"/>
            <w:tcBorders>
              <w:top w:val="single" w:color="auto" w:sz="12" w:space="0"/>
              <w:bottom w:val="single" w:color="auto" w:sz="4" w:space="0"/>
            </w:tcBorders>
            <w:vAlign w:val="center"/>
          </w:tcPr>
          <w:p w14:paraId="3E507778">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污染物</w:t>
            </w:r>
          </w:p>
        </w:tc>
        <w:tc>
          <w:tcPr>
            <w:tcW w:w="1272" w:type="pct"/>
            <w:tcBorders>
              <w:top w:val="single" w:color="auto" w:sz="12" w:space="0"/>
              <w:bottom w:val="single" w:color="auto" w:sz="4" w:space="0"/>
            </w:tcBorders>
            <w:vAlign w:val="center"/>
          </w:tcPr>
          <w:p w14:paraId="63B46595">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环境保护措施</w:t>
            </w:r>
          </w:p>
        </w:tc>
        <w:tc>
          <w:tcPr>
            <w:tcW w:w="1284" w:type="pct"/>
            <w:tcBorders>
              <w:top w:val="single" w:color="auto" w:sz="12" w:space="0"/>
              <w:bottom w:val="single" w:color="auto" w:sz="4" w:space="0"/>
              <w:right w:val="single" w:color="auto" w:sz="12" w:space="0"/>
            </w:tcBorders>
            <w:vAlign w:val="center"/>
          </w:tcPr>
          <w:p w14:paraId="3BA7D6DD">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执行标准</w:t>
            </w:r>
          </w:p>
        </w:tc>
      </w:tr>
      <w:tr w14:paraId="3B8260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79" w:type="pct"/>
            <w:vMerge w:val="restart"/>
            <w:tcBorders>
              <w:top w:val="single" w:color="auto" w:sz="4" w:space="0"/>
              <w:left w:val="single" w:color="auto" w:sz="12" w:space="0"/>
            </w:tcBorders>
            <w:vAlign w:val="center"/>
          </w:tcPr>
          <w:p w14:paraId="1EEE1357">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大气环境</w:t>
            </w:r>
          </w:p>
        </w:tc>
        <w:tc>
          <w:tcPr>
            <w:tcW w:w="843" w:type="pct"/>
            <w:tcBorders>
              <w:top w:val="single" w:color="auto" w:sz="4" w:space="0"/>
            </w:tcBorders>
            <w:vAlign w:val="center"/>
          </w:tcPr>
          <w:p w14:paraId="57D4F29A">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DA001排气筒</w:t>
            </w:r>
          </w:p>
        </w:tc>
        <w:tc>
          <w:tcPr>
            <w:tcW w:w="1019" w:type="pct"/>
            <w:tcBorders>
              <w:top w:val="single" w:color="auto" w:sz="4" w:space="0"/>
              <w:bottom w:val="single" w:color="auto" w:sz="4" w:space="0"/>
            </w:tcBorders>
            <w:vAlign w:val="center"/>
          </w:tcPr>
          <w:p w14:paraId="403CDBAC">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颗粒物</w:t>
            </w:r>
          </w:p>
        </w:tc>
        <w:tc>
          <w:tcPr>
            <w:tcW w:w="1272" w:type="pct"/>
            <w:tcBorders>
              <w:top w:val="single" w:color="auto" w:sz="4" w:space="0"/>
            </w:tcBorders>
            <w:vAlign w:val="center"/>
          </w:tcPr>
          <w:p w14:paraId="0B377203">
            <w:pPr>
              <w:adjustRightInd w:val="0"/>
              <w:snapToGrid w:val="0"/>
              <w:rPr>
                <w:rFonts w:eastAsia="宋体"/>
                <w:snapToGrid w:val="0"/>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集气罩（收集效率90%）经布袋除尘器（处理效率99%）处理后经15米高排气筒DA001排放。</w:t>
            </w:r>
          </w:p>
        </w:tc>
        <w:tc>
          <w:tcPr>
            <w:tcW w:w="1284" w:type="pct"/>
            <w:tcBorders>
              <w:top w:val="single" w:color="auto" w:sz="4" w:space="0"/>
              <w:bottom w:val="single" w:color="auto" w:sz="4" w:space="0"/>
              <w:right w:val="single" w:color="auto" w:sz="12" w:space="0"/>
            </w:tcBorders>
            <w:vAlign w:val="center"/>
          </w:tcPr>
          <w:p w14:paraId="1D815EB0">
            <w:pPr>
              <w:adjustRightInd w:val="0"/>
              <w:snapToGrid w:val="0"/>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《大气污染物综合排放标准》（</w:t>
            </w:r>
          </w:p>
          <w:p w14:paraId="1E78F81B">
            <w:pPr>
              <w:adjustRightInd w:val="0"/>
              <w:snapToGrid w:val="0"/>
              <w:rPr>
                <w:rFonts w:eastAsia="宋体"/>
                <w:color w:val="000000" w:themeColor="text1"/>
                <w:sz w:val="24"/>
                <w14:textFill>
                  <w14:solidFill>
                    <w14:schemeClr w14:val="tx1"/>
                  </w14:solidFill>
                </w14:textFill>
              </w:rPr>
            </w:pPr>
            <w:r>
              <w:rPr>
                <w:rFonts w:eastAsia="宋体"/>
                <w:color w:val="000000" w:themeColor="text1"/>
                <w:kern w:val="0"/>
                <w:sz w:val="24"/>
                <w14:textFill>
                  <w14:solidFill>
                    <w14:schemeClr w14:val="tx1"/>
                  </w14:solidFill>
                </w14:textFill>
              </w:rPr>
              <w:t>GB16297-1996）表2排放限值。</w:t>
            </w:r>
          </w:p>
        </w:tc>
      </w:tr>
      <w:tr w14:paraId="688C9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579" w:type="pct"/>
            <w:vMerge w:val="continue"/>
            <w:tcBorders>
              <w:left w:val="single" w:color="auto" w:sz="12" w:space="0"/>
            </w:tcBorders>
            <w:vAlign w:val="center"/>
          </w:tcPr>
          <w:p w14:paraId="4AE2C2AC">
            <w:pPr>
              <w:adjustRightInd w:val="0"/>
              <w:snapToGrid w:val="0"/>
              <w:jc w:val="center"/>
              <w:rPr>
                <w:rFonts w:eastAsia="宋体"/>
                <w:b/>
                <w:color w:val="000000" w:themeColor="text1"/>
                <w:sz w:val="24"/>
                <w14:textFill>
                  <w14:solidFill>
                    <w14:schemeClr w14:val="tx1"/>
                  </w14:solidFill>
                </w14:textFill>
              </w:rPr>
            </w:pPr>
          </w:p>
        </w:tc>
        <w:tc>
          <w:tcPr>
            <w:tcW w:w="843" w:type="pct"/>
            <w:tcBorders>
              <w:top w:val="single" w:color="auto" w:sz="4" w:space="0"/>
            </w:tcBorders>
            <w:vAlign w:val="center"/>
          </w:tcPr>
          <w:p w14:paraId="1188E839">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生产车间无组织废气</w:t>
            </w:r>
          </w:p>
        </w:tc>
        <w:tc>
          <w:tcPr>
            <w:tcW w:w="1019" w:type="pct"/>
            <w:tcBorders>
              <w:top w:val="single" w:color="auto" w:sz="4" w:space="0"/>
              <w:bottom w:val="single" w:color="auto" w:sz="4" w:space="0"/>
            </w:tcBorders>
            <w:vAlign w:val="center"/>
          </w:tcPr>
          <w:p w14:paraId="18AF5D36">
            <w:pPr>
              <w:pStyle w:val="73"/>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颗粒物</w:t>
            </w:r>
          </w:p>
        </w:tc>
        <w:tc>
          <w:tcPr>
            <w:tcW w:w="1272" w:type="pct"/>
            <w:tcBorders>
              <w:top w:val="single" w:color="auto" w:sz="4" w:space="0"/>
              <w:bottom w:val="single" w:color="auto" w:sz="4" w:space="0"/>
            </w:tcBorders>
            <w:vAlign w:val="center"/>
          </w:tcPr>
          <w:p w14:paraId="03E82C62">
            <w:pPr>
              <w:adjustRightInd w:val="0"/>
              <w:snapToGrid w:val="0"/>
              <w:rPr>
                <w:rFonts w:eastAsia="宋体"/>
                <w:snapToGrid w:val="0"/>
                <w:color w:val="000000" w:themeColor="text1"/>
                <w:sz w:val="24"/>
                <w14:textFill>
                  <w14:solidFill>
                    <w14:schemeClr w14:val="tx1"/>
                  </w14:solidFill>
                </w14:textFill>
              </w:rPr>
            </w:pPr>
            <w:r>
              <w:rPr>
                <w:rFonts w:eastAsia="宋体"/>
                <w:color w:val="000000" w:themeColor="text1"/>
                <w:kern w:val="0"/>
                <w:sz w:val="24"/>
                <w14:textFill>
                  <w14:solidFill>
                    <w14:schemeClr w14:val="tx1"/>
                  </w14:solidFill>
                </w14:textFill>
              </w:rPr>
              <w:t>厂房密闭，洒水降尘。</w:t>
            </w:r>
          </w:p>
        </w:tc>
        <w:tc>
          <w:tcPr>
            <w:tcW w:w="1284" w:type="pct"/>
            <w:tcBorders>
              <w:top w:val="single" w:color="auto" w:sz="4" w:space="0"/>
              <w:bottom w:val="single" w:color="auto" w:sz="4" w:space="0"/>
              <w:right w:val="single" w:color="auto" w:sz="12" w:space="0"/>
            </w:tcBorders>
            <w:vAlign w:val="center"/>
          </w:tcPr>
          <w:p w14:paraId="2061955C">
            <w:pPr>
              <w:adjustRightInd w:val="0"/>
              <w:snapToGrid w:val="0"/>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《大气污染物综合排放标准》（</w:t>
            </w:r>
          </w:p>
          <w:p w14:paraId="36349E43">
            <w:pPr>
              <w:adjustRightInd w:val="0"/>
              <w:snapToGrid w:val="0"/>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GB16297-1996）表2无组织排放浓度限值。</w:t>
            </w:r>
          </w:p>
        </w:tc>
      </w:tr>
      <w:tr w14:paraId="3F5AB0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579" w:type="pct"/>
            <w:vMerge w:val="restart"/>
            <w:tcBorders>
              <w:top w:val="single" w:color="auto" w:sz="4" w:space="0"/>
              <w:left w:val="single" w:color="auto" w:sz="12" w:space="0"/>
            </w:tcBorders>
            <w:vAlign w:val="center"/>
          </w:tcPr>
          <w:p w14:paraId="001DCA4E">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地表水</w:t>
            </w:r>
          </w:p>
          <w:p w14:paraId="13E2C996">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环境</w:t>
            </w:r>
          </w:p>
        </w:tc>
        <w:tc>
          <w:tcPr>
            <w:tcW w:w="843" w:type="pct"/>
            <w:vMerge w:val="restart"/>
            <w:tcBorders>
              <w:top w:val="single" w:color="auto" w:sz="4" w:space="0"/>
              <w:bottom w:val="single" w:color="auto" w:sz="4" w:space="0"/>
            </w:tcBorders>
            <w:vAlign w:val="center"/>
          </w:tcPr>
          <w:p w14:paraId="72A7AC0E">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生活污水</w:t>
            </w:r>
          </w:p>
        </w:tc>
        <w:tc>
          <w:tcPr>
            <w:tcW w:w="1019" w:type="pct"/>
            <w:tcBorders>
              <w:top w:val="single" w:color="auto" w:sz="4" w:space="0"/>
              <w:bottom w:val="single" w:color="auto" w:sz="4" w:space="0"/>
            </w:tcBorders>
            <w:vAlign w:val="center"/>
          </w:tcPr>
          <w:p w14:paraId="1FB7AC8F">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COD</w:t>
            </w:r>
          </w:p>
        </w:tc>
        <w:tc>
          <w:tcPr>
            <w:tcW w:w="1272" w:type="pct"/>
            <w:vMerge w:val="restart"/>
            <w:tcBorders>
              <w:top w:val="single" w:color="auto" w:sz="4" w:space="0"/>
              <w:bottom w:val="single" w:color="auto" w:sz="4" w:space="0"/>
            </w:tcBorders>
            <w:vAlign w:val="center"/>
          </w:tcPr>
          <w:p w14:paraId="65DFC080">
            <w:pPr>
              <w:pStyle w:val="73"/>
              <w:jc w:val="both"/>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生活污水排入防渗旱厕，定期清掏。</w:t>
            </w:r>
          </w:p>
        </w:tc>
        <w:tc>
          <w:tcPr>
            <w:tcW w:w="1284" w:type="pct"/>
            <w:vMerge w:val="restart"/>
            <w:tcBorders>
              <w:top w:val="single" w:color="auto" w:sz="4" w:space="0"/>
              <w:bottom w:val="single" w:color="auto" w:sz="4" w:space="0"/>
              <w:right w:val="single" w:color="auto" w:sz="12" w:space="0"/>
            </w:tcBorders>
            <w:vAlign w:val="center"/>
          </w:tcPr>
          <w:p w14:paraId="05C2BD1B">
            <w:pPr>
              <w:adjustRightInd w:val="0"/>
              <w:snapToGrid w:val="0"/>
              <w:jc w:val="center"/>
              <w:rPr>
                <w:rFonts w:eastAsia="宋体"/>
                <w:color w:val="000000" w:themeColor="text1"/>
                <w:sz w:val="24"/>
                <w14:textFill>
                  <w14:solidFill>
                    <w14:schemeClr w14:val="tx1"/>
                  </w14:solidFill>
                </w14:textFill>
              </w:rPr>
            </w:pPr>
            <w:r>
              <w:rPr>
                <w:rFonts w:eastAsia="宋体"/>
                <w:snapToGrid w:val="0"/>
                <w:color w:val="000000" w:themeColor="text1"/>
                <w:sz w:val="24"/>
                <w14:textFill>
                  <w14:solidFill>
                    <w14:schemeClr w14:val="tx1"/>
                  </w14:solidFill>
                </w14:textFill>
              </w:rPr>
              <w:t>/</w:t>
            </w:r>
          </w:p>
        </w:tc>
      </w:tr>
      <w:tr w14:paraId="0175D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579" w:type="pct"/>
            <w:vMerge w:val="continue"/>
            <w:tcBorders>
              <w:left w:val="single" w:color="auto" w:sz="12" w:space="0"/>
            </w:tcBorders>
            <w:vAlign w:val="center"/>
          </w:tcPr>
          <w:p w14:paraId="3A97F359">
            <w:pPr>
              <w:adjustRightInd w:val="0"/>
              <w:snapToGrid w:val="0"/>
              <w:jc w:val="center"/>
              <w:rPr>
                <w:rFonts w:eastAsia="宋体"/>
                <w:b/>
                <w:color w:val="000000" w:themeColor="text1"/>
                <w:sz w:val="24"/>
                <w14:textFill>
                  <w14:solidFill>
                    <w14:schemeClr w14:val="tx1"/>
                  </w14:solidFill>
                </w14:textFill>
              </w:rPr>
            </w:pPr>
          </w:p>
        </w:tc>
        <w:tc>
          <w:tcPr>
            <w:tcW w:w="843" w:type="pct"/>
            <w:vMerge w:val="continue"/>
            <w:tcBorders>
              <w:top w:val="single" w:color="auto" w:sz="4" w:space="0"/>
              <w:bottom w:val="single" w:color="auto" w:sz="4" w:space="0"/>
            </w:tcBorders>
            <w:vAlign w:val="center"/>
          </w:tcPr>
          <w:p w14:paraId="176945D0">
            <w:pPr>
              <w:rPr>
                <w:rFonts w:eastAsia="宋体"/>
                <w:color w:val="000000" w:themeColor="text1"/>
                <w:kern w:val="0"/>
                <w:sz w:val="24"/>
                <w14:textFill>
                  <w14:solidFill>
                    <w14:schemeClr w14:val="tx1"/>
                  </w14:solidFill>
                </w14:textFill>
              </w:rPr>
            </w:pPr>
          </w:p>
        </w:tc>
        <w:tc>
          <w:tcPr>
            <w:tcW w:w="1019" w:type="pct"/>
            <w:tcBorders>
              <w:top w:val="single" w:color="auto" w:sz="4" w:space="0"/>
              <w:bottom w:val="single" w:color="auto" w:sz="4" w:space="0"/>
            </w:tcBorders>
            <w:vAlign w:val="center"/>
          </w:tcPr>
          <w:p w14:paraId="438F78D4">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BOD</w:t>
            </w:r>
            <w:r>
              <w:rPr>
                <w:rFonts w:eastAsia="宋体"/>
                <w:color w:val="000000" w:themeColor="text1"/>
                <w:kern w:val="0"/>
                <w:sz w:val="24"/>
                <w:vertAlign w:val="subscript"/>
                <w14:textFill>
                  <w14:solidFill>
                    <w14:schemeClr w14:val="tx1"/>
                  </w14:solidFill>
                </w14:textFill>
              </w:rPr>
              <w:t>5</w:t>
            </w:r>
          </w:p>
        </w:tc>
        <w:tc>
          <w:tcPr>
            <w:tcW w:w="1272" w:type="pct"/>
            <w:vMerge w:val="continue"/>
            <w:tcBorders>
              <w:top w:val="single" w:color="auto" w:sz="4" w:space="0"/>
              <w:bottom w:val="single" w:color="auto" w:sz="4" w:space="0"/>
            </w:tcBorders>
            <w:vAlign w:val="center"/>
          </w:tcPr>
          <w:p w14:paraId="57DEAC18">
            <w:pPr>
              <w:rPr>
                <w:rFonts w:eastAsia="宋体"/>
                <w:color w:val="000000" w:themeColor="text1"/>
                <w:kern w:val="0"/>
                <w:sz w:val="24"/>
                <w14:textFill>
                  <w14:solidFill>
                    <w14:schemeClr w14:val="tx1"/>
                  </w14:solidFill>
                </w14:textFill>
              </w:rPr>
            </w:pPr>
          </w:p>
        </w:tc>
        <w:tc>
          <w:tcPr>
            <w:tcW w:w="1284" w:type="pct"/>
            <w:vMerge w:val="continue"/>
            <w:tcBorders>
              <w:top w:val="single" w:color="auto" w:sz="4" w:space="0"/>
              <w:bottom w:val="single" w:color="auto" w:sz="4" w:space="0"/>
              <w:right w:val="single" w:color="auto" w:sz="12" w:space="0"/>
            </w:tcBorders>
            <w:vAlign w:val="center"/>
          </w:tcPr>
          <w:p w14:paraId="225EC115">
            <w:pPr>
              <w:adjustRightInd w:val="0"/>
              <w:snapToGrid w:val="0"/>
              <w:rPr>
                <w:rFonts w:eastAsia="宋体"/>
                <w:snapToGrid w:val="0"/>
                <w:color w:val="000000" w:themeColor="text1"/>
                <w:sz w:val="24"/>
                <w14:textFill>
                  <w14:solidFill>
                    <w14:schemeClr w14:val="tx1"/>
                  </w14:solidFill>
                </w14:textFill>
              </w:rPr>
            </w:pPr>
          </w:p>
        </w:tc>
      </w:tr>
      <w:tr w14:paraId="5225EC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579" w:type="pct"/>
            <w:vMerge w:val="continue"/>
            <w:tcBorders>
              <w:left w:val="single" w:color="auto" w:sz="12" w:space="0"/>
            </w:tcBorders>
            <w:vAlign w:val="center"/>
          </w:tcPr>
          <w:p w14:paraId="36B37411">
            <w:pPr>
              <w:adjustRightInd w:val="0"/>
              <w:snapToGrid w:val="0"/>
              <w:jc w:val="center"/>
              <w:rPr>
                <w:rFonts w:eastAsia="宋体"/>
                <w:b/>
                <w:color w:val="000000" w:themeColor="text1"/>
                <w:sz w:val="24"/>
                <w14:textFill>
                  <w14:solidFill>
                    <w14:schemeClr w14:val="tx1"/>
                  </w14:solidFill>
                </w14:textFill>
              </w:rPr>
            </w:pPr>
          </w:p>
        </w:tc>
        <w:tc>
          <w:tcPr>
            <w:tcW w:w="843" w:type="pct"/>
            <w:vMerge w:val="continue"/>
            <w:tcBorders>
              <w:top w:val="single" w:color="auto" w:sz="4" w:space="0"/>
              <w:bottom w:val="single" w:color="auto" w:sz="4" w:space="0"/>
            </w:tcBorders>
            <w:vAlign w:val="center"/>
          </w:tcPr>
          <w:p w14:paraId="342DF5B2">
            <w:pPr>
              <w:rPr>
                <w:rFonts w:eastAsia="宋体"/>
                <w:color w:val="000000" w:themeColor="text1"/>
                <w:kern w:val="0"/>
                <w:sz w:val="24"/>
                <w14:textFill>
                  <w14:solidFill>
                    <w14:schemeClr w14:val="tx1"/>
                  </w14:solidFill>
                </w14:textFill>
              </w:rPr>
            </w:pPr>
          </w:p>
        </w:tc>
        <w:tc>
          <w:tcPr>
            <w:tcW w:w="1019" w:type="pct"/>
            <w:tcBorders>
              <w:top w:val="single" w:color="auto" w:sz="4" w:space="0"/>
              <w:bottom w:val="single" w:color="auto" w:sz="4" w:space="0"/>
            </w:tcBorders>
            <w:vAlign w:val="center"/>
          </w:tcPr>
          <w:p w14:paraId="66C7A7A2">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SS</w:t>
            </w:r>
          </w:p>
        </w:tc>
        <w:tc>
          <w:tcPr>
            <w:tcW w:w="1272" w:type="pct"/>
            <w:vMerge w:val="continue"/>
            <w:tcBorders>
              <w:top w:val="single" w:color="auto" w:sz="4" w:space="0"/>
              <w:bottom w:val="single" w:color="auto" w:sz="4" w:space="0"/>
            </w:tcBorders>
            <w:vAlign w:val="center"/>
          </w:tcPr>
          <w:p w14:paraId="64ADC566">
            <w:pPr>
              <w:rPr>
                <w:rFonts w:eastAsia="宋体"/>
                <w:color w:val="000000" w:themeColor="text1"/>
                <w:kern w:val="0"/>
                <w:sz w:val="24"/>
                <w14:textFill>
                  <w14:solidFill>
                    <w14:schemeClr w14:val="tx1"/>
                  </w14:solidFill>
                </w14:textFill>
              </w:rPr>
            </w:pPr>
          </w:p>
        </w:tc>
        <w:tc>
          <w:tcPr>
            <w:tcW w:w="1284" w:type="pct"/>
            <w:vMerge w:val="continue"/>
            <w:tcBorders>
              <w:top w:val="single" w:color="auto" w:sz="4" w:space="0"/>
              <w:bottom w:val="single" w:color="auto" w:sz="4" w:space="0"/>
              <w:right w:val="single" w:color="auto" w:sz="12" w:space="0"/>
            </w:tcBorders>
            <w:vAlign w:val="center"/>
          </w:tcPr>
          <w:p w14:paraId="6BA25DEA">
            <w:pPr>
              <w:adjustRightInd w:val="0"/>
              <w:snapToGrid w:val="0"/>
              <w:rPr>
                <w:rFonts w:eastAsia="宋体"/>
                <w:snapToGrid w:val="0"/>
                <w:color w:val="000000" w:themeColor="text1"/>
                <w:sz w:val="24"/>
                <w14:textFill>
                  <w14:solidFill>
                    <w14:schemeClr w14:val="tx1"/>
                  </w14:solidFill>
                </w14:textFill>
              </w:rPr>
            </w:pPr>
          </w:p>
        </w:tc>
      </w:tr>
      <w:tr w14:paraId="6D0A4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579" w:type="pct"/>
            <w:vMerge w:val="continue"/>
            <w:tcBorders>
              <w:left w:val="single" w:color="auto" w:sz="12" w:space="0"/>
            </w:tcBorders>
            <w:vAlign w:val="center"/>
          </w:tcPr>
          <w:p w14:paraId="7A4D7371">
            <w:pPr>
              <w:adjustRightInd w:val="0"/>
              <w:snapToGrid w:val="0"/>
              <w:jc w:val="center"/>
              <w:rPr>
                <w:rFonts w:eastAsia="宋体"/>
                <w:b/>
                <w:color w:val="000000" w:themeColor="text1"/>
                <w:sz w:val="24"/>
                <w14:textFill>
                  <w14:solidFill>
                    <w14:schemeClr w14:val="tx1"/>
                  </w14:solidFill>
                </w14:textFill>
              </w:rPr>
            </w:pPr>
          </w:p>
        </w:tc>
        <w:tc>
          <w:tcPr>
            <w:tcW w:w="843" w:type="pct"/>
            <w:vMerge w:val="continue"/>
            <w:tcBorders>
              <w:top w:val="single" w:color="auto" w:sz="4" w:space="0"/>
              <w:bottom w:val="single" w:color="auto" w:sz="4" w:space="0"/>
            </w:tcBorders>
            <w:vAlign w:val="center"/>
          </w:tcPr>
          <w:p w14:paraId="1D61E6C4">
            <w:pPr>
              <w:rPr>
                <w:rFonts w:eastAsia="宋体"/>
                <w:color w:val="000000" w:themeColor="text1"/>
                <w:kern w:val="0"/>
                <w:sz w:val="24"/>
                <w14:textFill>
                  <w14:solidFill>
                    <w14:schemeClr w14:val="tx1"/>
                  </w14:solidFill>
                </w14:textFill>
              </w:rPr>
            </w:pPr>
          </w:p>
        </w:tc>
        <w:tc>
          <w:tcPr>
            <w:tcW w:w="1019" w:type="pct"/>
            <w:tcBorders>
              <w:top w:val="single" w:color="auto" w:sz="4" w:space="0"/>
              <w:bottom w:val="single" w:color="auto" w:sz="4" w:space="0"/>
            </w:tcBorders>
            <w:vAlign w:val="center"/>
          </w:tcPr>
          <w:p w14:paraId="367CFC90">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氨氮</w:t>
            </w:r>
          </w:p>
        </w:tc>
        <w:tc>
          <w:tcPr>
            <w:tcW w:w="1272" w:type="pct"/>
            <w:vMerge w:val="continue"/>
            <w:tcBorders>
              <w:top w:val="single" w:color="auto" w:sz="4" w:space="0"/>
              <w:bottom w:val="single" w:color="auto" w:sz="4" w:space="0"/>
            </w:tcBorders>
            <w:vAlign w:val="center"/>
          </w:tcPr>
          <w:p w14:paraId="0985F530">
            <w:pPr>
              <w:rPr>
                <w:rFonts w:eastAsia="宋体"/>
                <w:color w:val="000000" w:themeColor="text1"/>
                <w:kern w:val="0"/>
                <w:sz w:val="24"/>
                <w14:textFill>
                  <w14:solidFill>
                    <w14:schemeClr w14:val="tx1"/>
                  </w14:solidFill>
                </w14:textFill>
              </w:rPr>
            </w:pPr>
          </w:p>
        </w:tc>
        <w:tc>
          <w:tcPr>
            <w:tcW w:w="1284" w:type="pct"/>
            <w:vMerge w:val="continue"/>
            <w:tcBorders>
              <w:top w:val="single" w:color="auto" w:sz="4" w:space="0"/>
              <w:bottom w:val="single" w:color="auto" w:sz="4" w:space="0"/>
              <w:right w:val="single" w:color="auto" w:sz="12" w:space="0"/>
            </w:tcBorders>
            <w:vAlign w:val="center"/>
          </w:tcPr>
          <w:p w14:paraId="69CA27FB">
            <w:pPr>
              <w:adjustRightInd w:val="0"/>
              <w:snapToGrid w:val="0"/>
              <w:rPr>
                <w:rFonts w:eastAsia="宋体"/>
                <w:snapToGrid w:val="0"/>
                <w:color w:val="000000" w:themeColor="text1"/>
                <w:sz w:val="24"/>
                <w14:textFill>
                  <w14:solidFill>
                    <w14:schemeClr w14:val="tx1"/>
                  </w14:solidFill>
                </w14:textFill>
              </w:rPr>
            </w:pPr>
          </w:p>
        </w:tc>
      </w:tr>
      <w:tr w14:paraId="2B38B5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579" w:type="pct"/>
            <w:tcBorders>
              <w:top w:val="single" w:color="auto" w:sz="4" w:space="0"/>
              <w:left w:val="single" w:color="auto" w:sz="12" w:space="0"/>
              <w:bottom w:val="single" w:color="auto" w:sz="4" w:space="0"/>
            </w:tcBorders>
            <w:vAlign w:val="center"/>
          </w:tcPr>
          <w:p w14:paraId="4BE78F60">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声环境</w:t>
            </w:r>
          </w:p>
        </w:tc>
        <w:tc>
          <w:tcPr>
            <w:tcW w:w="843" w:type="pct"/>
            <w:tcBorders>
              <w:top w:val="single" w:color="auto" w:sz="4" w:space="0"/>
              <w:bottom w:val="single" w:color="auto" w:sz="4" w:space="0"/>
            </w:tcBorders>
            <w:vAlign w:val="center"/>
          </w:tcPr>
          <w:p w14:paraId="137A1D0D">
            <w:pPr>
              <w:jc w:val="cente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生产设备</w:t>
            </w:r>
          </w:p>
        </w:tc>
        <w:tc>
          <w:tcPr>
            <w:tcW w:w="1019" w:type="pct"/>
            <w:tcBorders>
              <w:top w:val="single" w:color="auto" w:sz="4" w:space="0"/>
              <w:bottom w:val="single" w:color="auto" w:sz="4" w:space="0"/>
            </w:tcBorders>
            <w:vAlign w:val="center"/>
          </w:tcPr>
          <w:p w14:paraId="1D1A9DBE">
            <w:pP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等效A声级</w:t>
            </w:r>
          </w:p>
        </w:tc>
        <w:tc>
          <w:tcPr>
            <w:tcW w:w="1272" w:type="pct"/>
            <w:tcBorders>
              <w:top w:val="single" w:color="auto" w:sz="4" w:space="0"/>
              <w:bottom w:val="single" w:color="auto" w:sz="4" w:space="0"/>
            </w:tcBorders>
            <w:vAlign w:val="center"/>
          </w:tcPr>
          <w:p w14:paraId="46A46F17">
            <w:pP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本项目建成后，选用低噪声设备，通过减振、隔声、降噪、加强管理和设备合理布局等措施。</w:t>
            </w:r>
          </w:p>
        </w:tc>
        <w:tc>
          <w:tcPr>
            <w:tcW w:w="1284" w:type="pct"/>
            <w:tcBorders>
              <w:top w:val="single" w:color="auto" w:sz="4" w:space="0"/>
              <w:bottom w:val="single" w:color="auto" w:sz="4" w:space="0"/>
              <w:right w:val="single" w:color="auto" w:sz="12" w:space="0"/>
            </w:tcBorders>
            <w:vAlign w:val="center"/>
          </w:tcPr>
          <w:p w14:paraId="39348320">
            <w:pP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厂界噪声满足《工业企业厂界环境噪声排放标准》（</w:t>
            </w:r>
          </w:p>
          <w:p w14:paraId="3040AD6E">
            <w:pPr>
              <w:rPr>
                <w:rFonts w:eastAsia="宋体"/>
                <w:color w:val="000000" w:themeColor="text1"/>
                <w:kern w:val="0"/>
                <w:sz w:val="24"/>
                <w14:textFill>
                  <w14:solidFill>
                    <w14:schemeClr w14:val="tx1"/>
                  </w14:solidFill>
                </w14:textFill>
              </w:rPr>
            </w:pPr>
            <w:r>
              <w:rPr>
                <w:rFonts w:eastAsia="宋体"/>
                <w:color w:val="000000" w:themeColor="text1"/>
                <w:kern w:val="0"/>
                <w:sz w:val="24"/>
                <w14:textFill>
                  <w14:solidFill>
                    <w14:schemeClr w14:val="tx1"/>
                  </w14:solidFill>
                </w14:textFill>
              </w:rPr>
              <w:t>GB12348-2008）中2类标准。</w:t>
            </w:r>
          </w:p>
        </w:tc>
      </w:tr>
      <w:tr w14:paraId="6011E1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9" w:type="pct"/>
            <w:tcBorders>
              <w:top w:val="single" w:color="auto" w:sz="4" w:space="0"/>
              <w:left w:val="single" w:color="auto" w:sz="12" w:space="0"/>
              <w:bottom w:val="single" w:color="auto" w:sz="4" w:space="0"/>
            </w:tcBorders>
            <w:vAlign w:val="center"/>
          </w:tcPr>
          <w:p w14:paraId="5635223D">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固体废物</w:t>
            </w:r>
          </w:p>
        </w:tc>
        <w:tc>
          <w:tcPr>
            <w:tcW w:w="4420" w:type="pct"/>
            <w:gridSpan w:val="4"/>
            <w:tcBorders>
              <w:top w:val="single" w:color="auto" w:sz="4" w:space="0"/>
              <w:bottom w:val="single" w:color="auto" w:sz="4" w:space="0"/>
              <w:right w:val="single" w:color="auto" w:sz="12" w:space="0"/>
            </w:tcBorders>
            <w:vAlign w:val="center"/>
          </w:tcPr>
          <w:p w14:paraId="3AED539A">
            <w:pPr>
              <w:pStyle w:val="39"/>
              <w:jc w:val="both"/>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①除尘器收集的粉尘集中回用于生产。</w:t>
            </w:r>
          </w:p>
          <w:p w14:paraId="591FCB80">
            <w:pPr>
              <w:pStyle w:val="39"/>
              <w:jc w:val="both"/>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②原料废包装袋统一收集后外售综合利用。</w:t>
            </w:r>
          </w:p>
          <w:p w14:paraId="5CDA9B8A">
            <w:pPr>
              <w:pStyle w:val="39"/>
              <w:jc w:val="both"/>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③废布袋集中收集，厂家定期回收。</w:t>
            </w:r>
          </w:p>
          <w:p w14:paraId="22E49D6E">
            <w:pPr>
              <w:pStyle w:val="39"/>
              <w:jc w:val="both"/>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④生活垃圾集中收集，由市政部门统一清运。</w:t>
            </w:r>
          </w:p>
        </w:tc>
      </w:tr>
      <w:tr w14:paraId="07B8BE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579" w:type="pct"/>
            <w:tcBorders>
              <w:top w:val="single" w:color="auto" w:sz="4" w:space="0"/>
              <w:left w:val="single" w:color="auto" w:sz="12" w:space="0"/>
              <w:bottom w:val="single" w:color="auto" w:sz="4" w:space="0"/>
            </w:tcBorders>
            <w:vAlign w:val="center"/>
          </w:tcPr>
          <w:p w14:paraId="6B471C0C">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土壤及地下水污染防治措施</w:t>
            </w:r>
          </w:p>
        </w:tc>
        <w:tc>
          <w:tcPr>
            <w:tcW w:w="4420" w:type="pct"/>
            <w:gridSpan w:val="4"/>
            <w:tcBorders>
              <w:top w:val="single" w:color="auto" w:sz="4" w:space="0"/>
              <w:bottom w:val="single" w:color="auto" w:sz="4" w:space="0"/>
              <w:right w:val="single" w:color="auto" w:sz="12" w:space="0"/>
            </w:tcBorders>
            <w:vAlign w:val="center"/>
          </w:tcPr>
          <w:p w14:paraId="29D724B1">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r w14:paraId="55B677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79" w:type="pct"/>
            <w:tcBorders>
              <w:top w:val="single" w:color="auto" w:sz="4" w:space="0"/>
              <w:left w:val="single" w:color="auto" w:sz="12" w:space="0"/>
              <w:bottom w:val="single" w:color="auto" w:sz="4" w:space="0"/>
            </w:tcBorders>
            <w:vAlign w:val="center"/>
          </w:tcPr>
          <w:p w14:paraId="3C5E6B11">
            <w:pPr>
              <w:adjustRightInd w:val="0"/>
              <w:snapToGrid w:val="0"/>
              <w:jc w:val="center"/>
              <w:rPr>
                <w:rFonts w:eastAsia="宋体"/>
                <w:b/>
                <w:color w:val="000000" w:themeColor="text1"/>
                <w:sz w:val="24"/>
                <w14:textFill>
                  <w14:solidFill>
                    <w14:schemeClr w14:val="tx1"/>
                  </w14:solidFill>
                </w14:textFill>
              </w:rPr>
            </w:pPr>
            <w:r>
              <w:rPr>
                <w:rFonts w:eastAsia="宋体"/>
                <w:b/>
                <w:color w:val="000000" w:themeColor="text1"/>
                <w:sz w:val="24"/>
                <w14:textFill>
                  <w14:solidFill>
                    <w14:schemeClr w14:val="tx1"/>
                  </w14:solidFill>
                </w14:textFill>
              </w:rPr>
              <w:t>生态保护措施</w:t>
            </w:r>
          </w:p>
        </w:tc>
        <w:tc>
          <w:tcPr>
            <w:tcW w:w="4420" w:type="pct"/>
            <w:gridSpan w:val="4"/>
            <w:tcBorders>
              <w:top w:val="single" w:color="auto" w:sz="4" w:space="0"/>
              <w:bottom w:val="single" w:color="auto" w:sz="4" w:space="0"/>
              <w:right w:val="single" w:color="auto" w:sz="12" w:space="0"/>
            </w:tcBorders>
            <w:vAlign w:val="center"/>
          </w:tcPr>
          <w:p w14:paraId="414AE13B">
            <w:pPr>
              <w:adjustRightInd w:val="0"/>
              <w:snapToGrid w:val="0"/>
              <w:spacing w:line="360" w:lineRule="auto"/>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r w14:paraId="7A1DDD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63" w:hRule="atLeast"/>
          <w:jc w:val="center"/>
        </w:trPr>
        <w:tc>
          <w:tcPr>
            <w:tcW w:w="579" w:type="pct"/>
            <w:tcBorders>
              <w:top w:val="single" w:color="auto" w:sz="4" w:space="0"/>
              <w:left w:val="single" w:color="auto" w:sz="12" w:space="0"/>
              <w:bottom w:val="single" w:color="auto" w:sz="4" w:space="0"/>
            </w:tcBorders>
            <w:vAlign w:val="center"/>
          </w:tcPr>
          <w:p w14:paraId="0D4B2B3C">
            <w:pPr>
              <w:adjustRightInd w:val="0"/>
              <w:snapToGrid w:val="0"/>
              <w:jc w:val="center"/>
              <w:rPr>
                <w:rFonts w:eastAsia="宋体"/>
                <w:b/>
                <w:color w:val="000000" w:themeColor="text1"/>
                <w:spacing w:val="-8"/>
                <w:sz w:val="24"/>
                <w14:textFill>
                  <w14:solidFill>
                    <w14:schemeClr w14:val="tx1"/>
                  </w14:solidFill>
                </w14:textFill>
              </w:rPr>
            </w:pPr>
            <w:r>
              <w:rPr>
                <w:rFonts w:eastAsia="宋体"/>
                <w:b/>
                <w:color w:val="000000" w:themeColor="text1"/>
                <w:spacing w:val="-8"/>
                <w:sz w:val="24"/>
                <w14:textFill>
                  <w14:solidFill>
                    <w14:schemeClr w14:val="tx1"/>
                  </w14:solidFill>
                </w14:textFill>
              </w:rPr>
              <w:t>环境风险</w:t>
            </w:r>
          </w:p>
          <w:p w14:paraId="3202F34E">
            <w:pPr>
              <w:adjustRightInd w:val="0"/>
              <w:snapToGrid w:val="0"/>
              <w:jc w:val="center"/>
              <w:rPr>
                <w:rFonts w:eastAsia="宋体"/>
                <w:b/>
                <w:color w:val="000000" w:themeColor="text1"/>
                <w:spacing w:val="-8"/>
                <w:sz w:val="24"/>
                <w14:textFill>
                  <w14:solidFill>
                    <w14:schemeClr w14:val="tx1"/>
                  </w14:solidFill>
                </w14:textFill>
              </w:rPr>
            </w:pPr>
            <w:r>
              <w:rPr>
                <w:rFonts w:eastAsia="宋体"/>
                <w:b/>
                <w:color w:val="000000" w:themeColor="text1"/>
                <w:spacing w:val="-8"/>
                <w:sz w:val="24"/>
                <w14:textFill>
                  <w14:solidFill>
                    <w14:schemeClr w14:val="tx1"/>
                  </w14:solidFill>
                </w14:textFill>
              </w:rPr>
              <w:t>防范措施</w:t>
            </w:r>
          </w:p>
        </w:tc>
        <w:tc>
          <w:tcPr>
            <w:tcW w:w="4420" w:type="pct"/>
            <w:gridSpan w:val="4"/>
            <w:tcBorders>
              <w:top w:val="single" w:color="auto" w:sz="4" w:space="0"/>
              <w:bottom w:val="single" w:color="auto" w:sz="4" w:space="0"/>
              <w:right w:val="single" w:color="auto" w:sz="12" w:space="0"/>
            </w:tcBorders>
            <w:vAlign w:val="center"/>
          </w:tcPr>
          <w:p w14:paraId="3FA94CC7">
            <w:pPr>
              <w:adjustRightInd w:val="0"/>
              <w:snapToGrid w:val="0"/>
              <w:jc w:val="center"/>
              <w:rPr>
                <w:rFonts w:eastAsia="宋体"/>
                <w:bCs/>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r w14:paraId="0C77E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0" w:hRule="atLeast"/>
          <w:jc w:val="center"/>
        </w:trPr>
        <w:tc>
          <w:tcPr>
            <w:tcW w:w="579" w:type="pct"/>
            <w:tcBorders>
              <w:top w:val="single" w:color="auto" w:sz="4" w:space="0"/>
              <w:left w:val="single" w:color="auto" w:sz="12" w:space="0"/>
              <w:bottom w:val="single" w:color="auto" w:sz="12" w:space="0"/>
            </w:tcBorders>
            <w:vAlign w:val="center"/>
          </w:tcPr>
          <w:p w14:paraId="2370D046">
            <w:pPr>
              <w:adjustRightInd w:val="0"/>
              <w:snapToGrid w:val="0"/>
              <w:jc w:val="center"/>
              <w:rPr>
                <w:rFonts w:eastAsia="宋体"/>
                <w:b/>
                <w:color w:val="000000" w:themeColor="text1"/>
                <w:spacing w:val="-8"/>
                <w:sz w:val="24"/>
                <w14:textFill>
                  <w14:solidFill>
                    <w14:schemeClr w14:val="tx1"/>
                  </w14:solidFill>
                </w14:textFill>
              </w:rPr>
            </w:pPr>
            <w:r>
              <w:rPr>
                <w:rFonts w:eastAsia="宋体"/>
                <w:b/>
                <w:color w:val="000000" w:themeColor="text1"/>
                <w:spacing w:val="-8"/>
                <w:sz w:val="24"/>
                <w14:textFill>
                  <w14:solidFill>
                    <w14:schemeClr w14:val="tx1"/>
                  </w14:solidFill>
                </w14:textFill>
              </w:rPr>
              <w:t>其他环境</w:t>
            </w:r>
          </w:p>
          <w:p w14:paraId="274C8389">
            <w:pPr>
              <w:adjustRightInd w:val="0"/>
              <w:snapToGrid w:val="0"/>
              <w:jc w:val="center"/>
              <w:rPr>
                <w:rFonts w:eastAsia="宋体"/>
                <w:b/>
                <w:color w:val="000000" w:themeColor="text1"/>
                <w:spacing w:val="-8"/>
                <w:sz w:val="24"/>
                <w14:textFill>
                  <w14:solidFill>
                    <w14:schemeClr w14:val="tx1"/>
                  </w14:solidFill>
                </w14:textFill>
              </w:rPr>
            </w:pPr>
            <w:r>
              <w:rPr>
                <w:rFonts w:eastAsia="宋体"/>
                <w:b/>
                <w:color w:val="000000" w:themeColor="text1"/>
                <w:spacing w:val="-8"/>
                <w:sz w:val="24"/>
                <w14:textFill>
                  <w14:solidFill>
                    <w14:schemeClr w14:val="tx1"/>
                  </w14:solidFill>
                </w14:textFill>
              </w:rPr>
              <w:t>管理要求</w:t>
            </w:r>
          </w:p>
        </w:tc>
        <w:tc>
          <w:tcPr>
            <w:tcW w:w="4420" w:type="pct"/>
            <w:gridSpan w:val="4"/>
            <w:tcBorders>
              <w:top w:val="single" w:color="auto" w:sz="4" w:space="0"/>
              <w:bottom w:val="single" w:color="auto" w:sz="12" w:space="0"/>
              <w:right w:val="single" w:color="auto" w:sz="12" w:space="0"/>
            </w:tcBorders>
            <w:vAlign w:val="center"/>
          </w:tcPr>
          <w:p w14:paraId="1F3E1439">
            <w:pPr>
              <w:pStyle w:val="15"/>
              <w:adjustRightInd w:val="0"/>
              <w:snapToGrid w:val="0"/>
              <w:spacing w:before="0" w:line="500" w:lineRule="exact"/>
              <w:ind w:left="0" w:right="0"/>
              <w:jc w:val="left"/>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 xml:space="preserve">  根据《排污许可管理办法》，第三条：环境保护部依法制定并公布固定污染源排污许可分类管理名录，明确纳入排污许可管理的范围和申领时限。纳入固定污染源排污许可分类管理名录的企业事业单位和其他生产经营者（以下简称排污单位）应当按照规定的时限申请并取得排污许可证；未纳入固定污染源排污许可分类管理名录的排污单位，暂不需申请排污许可证。第二十四条：在固定污染源排污许可分类管理名录规定的时限前已经建成并实际排污的排污单位，应当在名录规定的时限申请排污许可证；在名录规定的时限后建成的排污单位，应当在启动生产设施或者在实际排污之前申请排污许可证，建立台账，废气排污口设置环保标识，定期公开污染防治信息，公开自行监测信息，公开固体废物处理、处置信息。</w:t>
            </w:r>
          </w:p>
        </w:tc>
      </w:tr>
    </w:tbl>
    <w:p w14:paraId="792392B3">
      <w:pPr>
        <w:pStyle w:val="31"/>
        <w:ind w:firstLine="240"/>
        <w:rPr>
          <w:rFonts w:eastAsia="宋体"/>
          <w:snapToGrid w:val="0"/>
          <w:color w:val="000000" w:themeColor="text1"/>
          <w:sz w:val="24"/>
          <w:szCs w:val="24"/>
          <w14:textFill>
            <w14:solidFill>
              <w14:schemeClr w14:val="tx1"/>
            </w14:solidFill>
          </w14:textFill>
        </w:rPr>
      </w:pPr>
      <w:r>
        <w:rPr>
          <w:rFonts w:eastAsia="宋体"/>
          <w:snapToGrid w:val="0"/>
          <w:color w:val="000000" w:themeColor="text1"/>
          <w:sz w:val="24"/>
          <w:szCs w:val="24"/>
          <w14:textFill>
            <w14:solidFill>
              <w14:schemeClr w14:val="tx1"/>
            </w14:solidFill>
          </w14:textFill>
        </w:rPr>
        <w:br w:type="page"/>
      </w:r>
    </w:p>
    <w:p w14:paraId="63F1B4EE">
      <w:pPr>
        <w:pStyle w:val="28"/>
        <w:adjustRightInd w:val="0"/>
        <w:snapToGrid w:val="0"/>
        <w:spacing w:before="0" w:beforeAutospacing="0" w:after="0" w:afterAutospacing="0" w:line="500" w:lineRule="exact"/>
        <w:jc w:val="center"/>
        <w:outlineLvl w:val="0"/>
        <w:rPr>
          <w:rFonts w:ascii="Times New Roman" w:hAnsi="Times New Roman" w:eastAsia="宋体"/>
          <w:b/>
          <w:bCs/>
          <w:snapToGrid w:val="0"/>
          <w:color w:val="000000" w:themeColor="text1"/>
          <w:szCs w:val="24"/>
          <w14:textFill>
            <w14:solidFill>
              <w14:schemeClr w14:val="tx1"/>
            </w14:solidFill>
          </w14:textFill>
        </w:rPr>
      </w:pPr>
      <w:bookmarkStart w:id="46" w:name="_Toc16534"/>
      <w:r>
        <w:rPr>
          <w:rFonts w:ascii="Times New Roman" w:hAnsi="Times New Roman" w:eastAsia="宋体"/>
          <w:b/>
          <w:bCs/>
          <w:snapToGrid w:val="0"/>
          <w:color w:val="000000" w:themeColor="text1"/>
          <w:szCs w:val="24"/>
          <w14:textFill>
            <w14:solidFill>
              <w14:schemeClr w14:val="tx1"/>
            </w14:solidFill>
          </w14:textFill>
        </w:rPr>
        <w:t>六、结论</w:t>
      </w:r>
      <w:bookmarkEnd w:id="46"/>
    </w:p>
    <w:tbl>
      <w:tblPr>
        <w:tblStyle w:val="34"/>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14:paraId="5A032D2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315" w:hRule="atLeast"/>
        </w:trPr>
        <w:tc>
          <w:tcPr>
            <w:tcW w:w="5000" w:type="pct"/>
          </w:tcPr>
          <w:p w14:paraId="5D13190E">
            <w:pPr>
              <w:adjustRightInd w:val="0"/>
              <w:snapToGrid w:val="0"/>
              <w:spacing w:line="500" w:lineRule="exact"/>
              <w:ind w:firstLine="460" w:firstLineChars="192"/>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综上所述，项目在运营期产生废水、废气、噪声及固体废物污染等，在严格采取本报告表所提出的各项环境保护措施后，能保证各种污染物稳定达标排放，污染物的排放符合总量控制的要求。在确保污染防治措施全面实施并正常运行的前提下，通过加强环境管理，项目的环境影响可被周围环境所接受。因此，该项目建设从环境保护角度分析是可行的。</w:t>
            </w:r>
          </w:p>
          <w:p w14:paraId="17041D64">
            <w:pPr>
              <w:adjustRightInd w:val="0"/>
              <w:snapToGrid w:val="0"/>
              <w:spacing w:line="500" w:lineRule="exact"/>
              <w:ind w:firstLine="460" w:firstLineChars="192"/>
              <w:jc w:val="center"/>
              <w:rPr>
                <w:rFonts w:eastAsia="宋体"/>
                <w:color w:val="000000" w:themeColor="text1"/>
                <w:sz w:val="24"/>
                <w14:textFill>
                  <w14:solidFill>
                    <w14:schemeClr w14:val="tx1"/>
                  </w14:solidFill>
                </w14:textFill>
              </w:rPr>
            </w:pPr>
          </w:p>
        </w:tc>
      </w:tr>
    </w:tbl>
    <w:p w14:paraId="552E3990">
      <w:pPr>
        <w:rPr>
          <w:rFonts w:eastAsia="宋体"/>
          <w:color w:val="000000" w:themeColor="text1"/>
          <w:sz w:val="24"/>
          <w14:textFill>
            <w14:solidFill>
              <w14:schemeClr w14:val="tx1"/>
            </w14:solidFill>
          </w14:textFill>
        </w:rPr>
        <w:sectPr>
          <w:pgSz w:w="11906" w:h="16838"/>
          <w:pgMar w:top="1440" w:right="1800" w:bottom="1440" w:left="1800" w:header="851" w:footer="851" w:gutter="0"/>
          <w:cols w:space="720" w:num="1"/>
          <w:docGrid w:linePitch="312" w:charSpace="0"/>
        </w:sectPr>
      </w:pPr>
    </w:p>
    <w:p w14:paraId="0C071A5A">
      <w:pPr>
        <w:pStyle w:val="28"/>
        <w:adjustRightInd w:val="0"/>
        <w:snapToGrid w:val="0"/>
        <w:spacing w:before="0" w:beforeAutospacing="0" w:after="0" w:afterAutospacing="0" w:line="500" w:lineRule="exact"/>
        <w:outlineLvl w:val="0"/>
        <w:rPr>
          <w:rFonts w:ascii="Times New Roman" w:hAnsi="Times New Roman" w:eastAsia="宋体"/>
          <w:b/>
          <w:bCs/>
          <w:snapToGrid w:val="0"/>
          <w:color w:val="000000" w:themeColor="text1"/>
          <w:szCs w:val="24"/>
          <w14:textFill>
            <w14:solidFill>
              <w14:schemeClr w14:val="tx1"/>
            </w14:solidFill>
          </w14:textFill>
        </w:rPr>
      </w:pPr>
      <w:bookmarkStart w:id="47" w:name="_Toc4903"/>
      <w:bookmarkStart w:id="48" w:name="_Toc11261"/>
      <w:bookmarkStart w:id="49" w:name="_Toc16383"/>
      <w:bookmarkStart w:id="50" w:name="_Toc3409"/>
      <w:bookmarkStart w:id="51" w:name="_Toc25381"/>
      <w:bookmarkStart w:id="52" w:name="_Toc18391"/>
      <w:bookmarkStart w:id="53" w:name="_Toc6039"/>
      <w:r>
        <w:rPr>
          <w:rFonts w:ascii="Times New Roman" w:hAnsi="Times New Roman" w:eastAsia="宋体"/>
          <w:b/>
          <w:bCs/>
          <w:snapToGrid w:val="0"/>
          <w:color w:val="000000" w:themeColor="text1"/>
          <w:szCs w:val="24"/>
          <w14:textFill>
            <w14:solidFill>
              <w14:schemeClr w14:val="tx1"/>
            </w14:solidFill>
          </w14:textFill>
        </w:rPr>
        <w:t>附表</w:t>
      </w:r>
      <w:bookmarkEnd w:id="47"/>
      <w:bookmarkEnd w:id="48"/>
      <w:bookmarkEnd w:id="49"/>
      <w:bookmarkEnd w:id="50"/>
      <w:bookmarkEnd w:id="51"/>
      <w:bookmarkEnd w:id="52"/>
      <w:bookmarkEnd w:id="53"/>
    </w:p>
    <w:p w14:paraId="7EB00B8A">
      <w:pPr>
        <w:pStyle w:val="28"/>
        <w:adjustRightInd w:val="0"/>
        <w:snapToGrid w:val="0"/>
        <w:spacing w:before="0" w:beforeAutospacing="0" w:after="0" w:afterAutospacing="0" w:line="500" w:lineRule="exact"/>
        <w:jc w:val="center"/>
        <w:outlineLvl w:val="1"/>
        <w:rPr>
          <w:rFonts w:ascii="Times New Roman" w:hAnsi="Times New Roman" w:eastAsia="宋体"/>
          <w:b/>
          <w:bCs/>
          <w:snapToGrid w:val="0"/>
          <w:color w:val="000000" w:themeColor="text1"/>
          <w:sz w:val="44"/>
          <w:szCs w:val="44"/>
          <w14:textFill>
            <w14:solidFill>
              <w14:schemeClr w14:val="tx1"/>
            </w14:solidFill>
          </w14:textFill>
        </w:rPr>
      </w:pPr>
      <w:r>
        <w:rPr>
          <w:rFonts w:ascii="Times New Roman" w:hAnsi="Times New Roman" w:eastAsia="宋体"/>
          <w:b/>
          <w:bCs/>
          <w:snapToGrid w:val="0"/>
          <w:color w:val="000000" w:themeColor="text1"/>
          <w:sz w:val="44"/>
          <w:szCs w:val="44"/>
          <w14:textFill>
            <w14:solidFill>
              <w14:schemeClr w14:val="tx1"/>
            </w14:solidFill>
          </w14:textFill>
        </w:rPr>
        <w:t>建设项目污染物排放量汇总表</w:t>
      </w:r>
    </w:p>
    <w:tbl>
      <w:tblPr>
        <w:tblStyle w:val="33"/>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812"/>
        <w:gridCol w:w="1544"/>
        <w:gridCol w:w="1123"/>
        <w:gridCol w:w="1538"/>
        <w:gridCol w:w="1530"/>
        <w:gridCol w:w="1538"/>
        <w:gridCol w:w="1672"/>
        <w:gridCol w:w="1417"/>
      </w:tblGrid>
      <w:tr w14:paraId="746878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1" w:type="pct"/>
            <w:tcBorders>
              <w:tl2br w:val="single" w:color="auto" w:sz="4" w:space="0"/>
            </w:tcBorders>
            <w:tcMar>
              <w:left w:w="28" w:type="dxa"/>
              <w:right w:w="28" w:type="dxa"/>
            </w:tcMar>
            <w:vAlign w:val="center"/>
          </w:tcPr>
          <w:p w14:paraId="2C433B9A">
            <w:pPr>
              <w:pStyle w:val="56"/>
              <w:spacing w:beforeLines="0" w:afterLines="0" w:line="240" w:lineRule="auto"/>
              <w:jc w:val="right"/>
              <w:rPr>
                <w:rFonts w:ascii="Times New Roman" w:eastAsia="宋体"/>
                <w:snapToGrid w:val="0"/>
                <w:color w:val="000000" w:themeColor="text1"/>
                <w:spacing w:val="-6"/>
                <w:kern w:val="21"/>
                <w:sz w:val="22"/>
                <w:szCs w:val="22"/>
                <w14:textFill>
                  <w14:solidFill>
                    <w14:schemeClr w14:val="tx1"/>
                  </w14:solidFill>
                </w14:textFill>
              </w:rPr>
            </w:pPr>
            <w:r>
              <w:rPr>
                <w:rFonts w:ascii="Times New Roman" w:eastAsia="宋体"/>
                <w:snapToGrid w:val="0"/>
                <w:color w:val="000000" w:themeColor="text1"/>
                <w:spacing w:val="-6"/>
                <w:kern w:val="21"/>
                <w:sz w:val="22"/>
                <w:szCs w:val="22"/>
                <w14:textFill>
                  <w14:solidFill>
                    <w14:schemeClr w14:val="tx1"/>
                  </w14:solidFill>
                </w14:textFill>
              </w:rPr>
              <w:t>项目</w:t>
            </w:r>
          </w:p>
          <w:p w14:paraId="5166E244">
            <w:pPr>
              <w:pStyle w:val="56"/>
              <w:spacing w:beforeLines="0" w:afterLines="0" w:line="240" w:lineRule="auto"/>
              <w:jc w:val="left"/>
              <w:rPr>
                <w:rFonts w:ascii="Times New Roman" w:eastAsia="宋体"/>
                <w:snapToGrid w:val="0"/>
                <w:color w:val="000000" w:themeColor="text1"/>
                <w:spacing w:val="-6"/>
                <w:kern w:val="21"/>
                <w:sz w:val="22"/>
                <w:szCs w:val="22"/>
                <w14:textFill>
                  <w14:solidFill>
                    <w14:schemeClr w14:val="tx1"/>
                  </w14:solidFill>
                </w14:textFill>
              </w:rPr>
            </w:pPr>
            <w:r>
              <w:rPr>
                <w:rFonts w:ascii="Times New Roman" w:eastAsia="宋体"/>
                <w:snapToGrid w:val="0"/>
                <w:color w:val="000000" w:themeColor="text1"/>
                <w:spacing w:val="-6"/>
                <w:kern w:val="21"/>
                <w:sz w:val="22"/>
                <w:szCs w:val="22"/>
                <w14:textFill>
                  <w14:solidFill>
                    <w14:schemeClr w14:val="tx1"/>
                  </w14:solidFill>
                </w14:textFill>
              </w:rPr>
              <w:t>分类</w:t>
            </w:r>
          </w:p>
        </w:tc>
        <w:tc>
          <w:tcPr>
            <w:tcW w:w="681" w:type="pct"/>
            <w:tcMar>
              <w:left w:w="28" w:type="dxa"/>
              <w:right w:w="28" w:type="dxa"/>
            </w:tcMar>
            <w:vAlign w:val="center"/>
          </w:tcPr>
          <w:p w14:paraId="30B9035A">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污染物名称</w:t>
            </w:r>
          </w:p>
        </w:tc>
        <w:tc>
          <w:tcPr>
            <w:tcW w:w="580" w:type="pct"/>
            <w:tcMar>
              <w:left w:w="28" w:type="dxa"/>
              <w:right w:w="28" w:type="dxa"/>
            </w:tcMar>
            <w:vAlign w:val="center"/>
          </w:tcPr>
          <w:p w14:paraId="3294E76F">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现有工程</w:t>
            </w:r>
          </w:p>
          <w:p w14:paraId="1D6B5AFB">
            <w:pPr>
              <w:pStyle w:val="56"/>
              <w:spacing w:beforeLines="0" w:afterLines="0" w:line="240" w:lineRule="auto"/>
              <w:jc w:val="both"/>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排放量（固体废物产生量）</w:t>
            </w:r>
            <w:r>
              <w:rPr>
                <w:rFonts w:ascii="Times New Roman" w:eastAsia="宋体"/>
                <w:snapToGrid w:val="0"/>
                <w:color w:val="000000" w:themeColor="text1"/>
                <w:sz w:val="22"/>
                <w:szCs w:val="22"/>
                <w14:textFill>
                  <w14:solidFill>
                    <w14:schemeClr w14:val="tx1"/>
                  </w14:solidFill>
                </w14:textFill>
              </w:rPr>
              <w:fldChar w:fldCharType="begin"/>
            </w:r>
            <w:r>
              <w:rPr>
                <w:rFonts w:ascii="Times New Roman" w:eastAsia="宋体"/>
                <w:snapToGrid w:val="0"/>
                <w:color w:val="000000" w:themeColor="text1"/>
                <w:sz w:val="22"/>
                <w:szCs w:val="22"/>
                <w14:textFill>
                  <w14:solidFill>
                    <w14:schemeClr w14:val="tx1"/>
                  </w14:solidFill>
                </w14:textFill>
              </w:rPr>
              <w:instrText xml:space="preserve"> = 1 \* GB3 \* MERGEFORMAT </w:instrText>
            </w:r>
            <w:r>
              <w:rPr>
                <w:rFonts w:ascii="Times New Roman" w:eastAsia="宋体"/>
                <w:snapToGrid w:val="0"/>
                <w:color w:val="000000" w:themeColor="text1"/>
                <w:sz w:val="22"/>
                <w:szCs w:val="22"/>
                <w14:textFill>
                  <w14:solidFill>
                    <w14:schemeClr w14:val="tx1"/>
                  </w14:solidFill>
                </w14:textFill>
              </w:rPr>
              <w:fldChar w:fldCharType="separate"/>
            </w:r>
            <w:r>
              <w:rPr>
                <w:rFonts w:ascii="Times New Roman" w:eastAsia="宋体"/>
                <w:snapToGrid w:val="0"/>
                <w:color w:val="000000" w:themeColor="text1"/>
                <w:sz w:val="22"/>
                <w:szCs w:val="22"/>
                <w14:textFill>
                  <w14:solidFill>
                    <w14:schemeClr w14:val="tx1"/>
                  </w14:solidFill>
                </w14:textFill>
              </w:rPr>
              <w:t>①</w:t>
            </w:r>
            <w:r>
              <w:rPr>
                <w:rFonts w:ascii="Times New Roman" w:eastAsia="宋体"/>
                <w:snapToGrid w:val="0"/>
                <w:color w:val="000000" w:themeColor="text1"/>
                <w:sz w:val="22"/>
                <w:szCs w:val="22"/>
                <w14:textFill>
                  <w14:solidFill>
                    <w14:schemeClr w14:val="tx1"/>
                  </w14:solidFill>
                </w14:textFill>
              </w:rPr>
              <w:fldChar w:fldCharType="end"/>
            </w:r>
          </w:p>
        </w:tc>
        <w:tc>
          <w:tcPr>
            <w:tcW w:w="422" w:type="pct"/>
            <w:tcMar>
              <w:left w:w="28" w:type="dxa"/>
              <w:right w:w="28" w:type="dxa"/>
            </w:tcMar>
            <w:vAlign w:val="center"/>
          </w:tcPr>
          <w:p w14:paraId="7E764A51">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现有工程</w:t>
            </w:r>
          </w:p>
          <w:p w14:paraId="4B5F59D5">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许可排放量</w:t>
            </w:r>
            <w:r>
              <w:rPr>
                <w:rFonts w:ascii="Times New Roman" w:eastAsia="宋体"/>
                <w:snapToGrid w:val="0"/>
                <w:color w:val="000000" w:themeColor="text1"/>
                <w:sz w:val="22"/>
                <w:szCs w:val="22"/>
                <w14:textFill>
                  <w14:solidFill>
                    <w14:schemeClr w14:val="tx1"/>
                  </w14:solidFill>
                </w14:textFill>
              </w:rPr>
              <w:fldChar w:fldCharType="begin"/>
            </w:r>
            <w:r>
              <w:rPr>
                <w:rFonts w:ascii="Times New Roman" w:eastAsia="宋体"/>
                <w:snapToGrid w:val="0"/>
                <w:color w:val="000000" w:themeColor="text1"/>
                <w:sz w:val="22"/>
                <w:szCs w:val="22"/>
                <w14:textFill>
                  <w14:solidFill>
                    <w14:schemeClr w14:val="tx1"/>
                  </w14:solidFill>
                </w14:textFill>
              </w:rPr>
              <w:instrText xml:space="preserve"> = 2 \* GB3 \* MERGEFORMAT </w:instrText>
            </w:r>
            <w:r>
              <w:rPr>
                <w:rFonts w:ascii="Times New Roman" w:eastAsia="宋体"/>
                <w:snapToGrid w:val="0"/>
                <w:color w:val="000000" w:themeColor="text1"/>
                <w:sz w:val="22"/>
                <w:szCs w:val="22"/>
                <w14:textFill>
                  <w14:solidFill>
                    <w14:schemeClr w14:val="tx1"/>
                  </w14:solidFill>
                </w14:textFill>
              </w:rPr>
              <w:fldChar w:fldCharType="separate"/>
            </w:r>
            <w:r>
              <w:rPr>
                <w:rFonts w:ascii="Times New Roman" w:eastAsia="宋体"/>
                <w:snapToGrid w:val="0"/>
                <w:color w:val="000000" w:themeColor="text1"/>
                <w:sz w:val="22"/>
                <w:szCs w:val="22"/>
                <w14:textFill>
                  <w14:solidFill>
                    <w14:schemeClr w14:val="tx1"/>
                  </w14:solidFill>
                </w14:textFill>
              </w:rPr>
              <w:t>②</w:t>
            </w:r>
            <w:r>
              <w:rPr>
                <w:rFonts w:ascii="Times New Roman" w:eastAsia="宋体"/>
                <w:snapToGrid w:val="0"/>
                <w:color w:val="000000" w:themeColor="text1"/>
                <w:sz w:val="22"/>
                <w:szCs w:val="22"/>
                <w14:textFill>
                  <w14:solidFill>
                    <w14:schemeClr w14:val="tx1"/>
                  </w14:solidFill>
                </w14:textFill>
              </w:rPr>
              <w:fldChar w:fldCharType="end"/>
            </w:r>
          </w:p>
        </w:tc>
        <w:tc>
          <w:tcPr>
            <w:tcW w:w="578" w:type="pct"/>
            <w:tcMar>
              <w:left w:w="28" w:type="dxa"/>
              <w:right w:w="28" w:type="dxa"/>
            </w:tcMar>
            <w:vAlign w:val="center"/>
          </w:tcPr>
          <w:p w14:paraId="4BC36579">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在建工程</w:t>
            </w:r>
          </w:p>
          <w:p w14:paraId="2D20D3CB">
            <w:pPr>
              <w:pStyle w:val="56"/>
              <w:spacing w:beforeLines="0" w:afterLines="0" w:line="240" w:lineRule="auto"/>
              <w:jc w:val="both"/>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排放量（固体废物产生量）</w:t>
            </w:r>
            <w:r>
              <w:rPr>
                <w:rFonts w:ascii="Times New Roman" w:eastAsia="宋体"/>
                <w:snapToGrid w:val="0"/>
                <w:color w:val="000000" w:themeColor="text1"/>
                <w:sz w:val="22"/>
                <w:szCs w:val="22"/>
                <w14:textFill>
                  <w14:solidFill>
                    <w14:schemeClr w14:val="tx1"/>
                  </w14:solidFill>
                </w14:textFill>
              </w:rPr>
              <w:fldChar w:fldCharType="begin"/>
            </w:r>
            <w:r>
              <w:rPr>
                <w:rFonts w:ascii="Times New Roman" w:eastAsia="宋体"/>
                <w:snapToGrid w:val="0"/>
                <w:color w:val="000000" w:themeColor="text1"/>
                <w:sz w:val="22"/>
                <w:szCs w:val="22"/>
                <w14:textFill>
                  <w14:solidFill>
                    <w14:schemeClr w14:val="tx1"/>
                  </w14:solidFill>
                </w14:textFill>
              </w:rPr>
              <w:instrText xml:space="preserve"> = 3 \* GB3 \* MERGEFORMAT </w:instrText>
            </w:r>
            <w:r>
              <w:rPr>
                <w:rFonts w:ascii="Times New Roman" w:eastAsia="宋体"/>
                <w:snapToGrid w:val="0"/>
                <w:color w:val="000000" w:themeColor="text1"/>
                <w:sz w:val="22"/>
                <w:szCs w:val="22"/>
                <w14:textFill>
                  <w14:solidFill>
                    <w14:schemeClr w14:val="tx1"/>
                  </w14:solidFill>
                </w14:textFill>
              </w:rPr>
              <w:fldChar w:fldCharType="separate"/>
            </w:r>
            <w:r>
              <w:rPr>
                <w:rFonts w:ascii="Times New Roman" w:eastAsia="宋体"/>
                <w:snapToGrid w:val="0"/>
                <w:color w:val="000000" w:themeColor="text1"/>
                <w:sz w:val="22"/>
                <w:szCs w:val="22"/>
                <w14:textFill>
                  <w14:solidFill>
                    <w14:schemeClr w14:val="tx1"/>
                  </w14:solidFill>
                </w14:textFill>
              </w:rPr>
              <w:t>③</w:t>
            </w:r>
            <w:r>
              <w:rPr>
                <w:rFonts w:ascii="Times New Roman" w:eastAsia="宋体"/>
                <w:snapToGrid w:val="0"/>
                <w:color w:val="000000" w:themeColor="text1"/>
                <w:sz w:val="22"/>
                <w:szCs w:val="22"/>
                <w14:textFill>
                  <w14:solidFill>
                    <w14:schemeClr w14:val="tx1"/>
                  </w14:solidFill>
                </w14:textFill>
              </w:rPr>
              <w:fldChar w:fldCharType="end"/>
            </w:r>
          </w:p>
        </w:tc>
        <w:tc>
          <w:tcPr>
            <w:tcW w:w="575" w:type="pct"/>
            <w:tcMar>
              <w:left w:w="28" w:type="dxa"/>
              <w:right w:w="28" w:type="dxa"/>
            </w:tcMar>
            <w:vAlign w:val="center"/>
          </w:tcPr>
          <w:p w14:paraId="6C709ADE">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本项目</w:t>
            </w:r>
          </w:p>
          <w:p w14:paraId="725165E0">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排放量（固体废物产生量）</w:t>
            </w:r>
            <w:r>
              <w:rPr>
                <w:rFonts w:ascii="Times New Roman" w:eastAsia="宋体"/>
                <w:snapToGrid w:val="0"/>
                <w:color w:val="000000" w:themeColor="text1"/>
                <w:sz w:val="22"/>
                <w:szCs w:val="22"/>
                <w14:textFill>
                  <w14:solidFill>
                    <w14:schemeClr w14:val="tx1"/>
                  </w14:solidFill>
                </w14:textFill>
              </w:rPr>
              <w:fldChar w:fldCharType="begin"/>
            </w:r>
            <w:r>
              <w:rPr>
                <w:rFonts w:ascii="Times New Roman" w:eastAsia="宋体"/>
                <w:snapToGrid w:val="0"/>
                <w:color w:val="000000" w:themeColor="text1"/>
                <w:sz w:val="22"/>
                <w:szCs w:val="22"/>
                <w14:textFill>
                  <w14:solidFill>
                    <w14:schemeClr w14:val="tx1"/>
                  </w14:solidFill>
                </w14:textFill>
              </w:rPr>
              <w:instrText xml:space="preserve"> = 4 \* GB3 \* MERGEFORMAT </w:instrText>
            </w:r>
            <w:r>
              <w:rPr>
                <w:rFonts w:ascii="Times New Roman" w:eastAsia="宋体"/>
                <w:snapToGrid w:val="0"/>
                <w:color w:val="000000" w:themeColor="text1"/>
                <w:sz w:val="22"/>
                <w:szCs w:val="22"/>
                <w14:textFill>
                  <w14:solidFill>
                    <w14:schemeClr w14:val="tx1"/>
                  </w14:solidFill>
                </w14:textFill>
              </w:rPr>
              <w:fldChar w:fldCharType="separate"/>
            </w:r>
            <w:r>
              <w:rPr>
                <w:rFonts w:ascii="Times New Roman" w:eastAsia="宋体"/>
                <w:snapToGrid w:val="0"/>
                <w:color w:val="000000" w:themeColor="text1"/>
                <w:sz w:val="22"/>
                <w:szCs w:val="22"/>
                <w14:textFill>
                  <w14:solidFill>
                    <w14:schemeClr w14:val="tx1"/>
                  </w14:solidFill>
                </w14:textFill>
              </w:rPr>
              <w:t>④</w:t>
            </w:r>
            <w:r>
              <w:rPr>
                <w:rFonts w:ascii="Times New Roman" w:eastAsia="宋体"/>
                <w:snapToGrid w:val="0"/>
                <w:color w:val="000000" w:themeColor="text1"/>
                <w:sz w:val="22"/>
                <w:szCs w:val="22"/>
                <w14:textFill>
                  <w14:solidFill>
                    <w14:schemeClr w14:val="tx1"/>
                  </w14:solidFill>
                </w14:textFill>
              </w:rPr>
              <w:fldChar w:fldCharType="end"/>
            </w:r>
          </w:p>
        </w:tc>
        <w:tc>
          <w:tcPr>
            <w:tcW w:w="578" w:type="pct"/>
            <w:tcMar>
              <w:left w:w="28" w:type="dxa"/>
              <w:right w:w="28" w:type="dxa"/>
            </w:tcMar>
            <w:vAlign w:val="center"/>
          </w:tcPr>
          <w:p w14:paraId="49B5526A">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以新带老削减量</w:t>
            </w:r>
          </w:p>
          <w:p w14:paraId="3BE1DE08">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（新建项目不填）</w:t>
            </w:r>
            <w:r>
              <w:rPr>
                <w:rFonts w:ascii="Times New Roman" w:eastAsia="宋体"/>
                <w:snapToGrid w:val="0"/>
                <w:color w:val="000000" w:themeColor="text1"/>
                <w:sz w:val="22"/>
                <w:szCs w:val="22"/>
                <w14:textFill>
                  <w14:solidFill>
                    <w14:schemeClr w14:val="tx1"/>
                  </w14:solidFill>
                </w14:textFill>
              </w:rPr>
              <w:fldChar w:fldCharType="begin"/>
            </w:r>
            <w:r>
              <w:rPr>
                <w:rFonts w:ascii="Times New Roman" w:eastAsia="宋体"/>
                <w:snapToGrid w:val="0"/>
                <w:color w:val="000000" w:themeColor="text1"/>
                <w:sz w:val="22"/>
                <w:szCs w:val="22"/>
                <w14:textFill>
                  <w14:solidFill>
                    <w14:schemeClr w14:val="tx1"/>
                  </w14:solidFill>
                </w14:textFill>
              </w:rPr>
              <w:instrText xml:space="preserve"> = 5 \* GB3 \* MERGEFORMAT </w:instrText>
            </w:r>
            <w:r>
              <w:rPr>
                <w:rFonts w:ascii="Times New Roman" w:eastAsia="宋体"/>
                <w:snapToGrid w:val="0"/>
                <w:color w:val="000000" w:themeColor="text1"/>
                <w:sz w:val="22"/>
                <w:szCs w:val="22"/>
                <w14:textFill>
                  <w14:solidFill>
                    <w14:schemeClr w14:val="tx1"/>
                  </w14:solidFill>
                </w14:textFill>
              </w:rPr>
              <w:fldChar w:fldCharType="separate"/>
            </w:r>
            <w:r>
              <w:rPr>
                <w:rFonts w:ascii="Times New Roman" w:eastAsia="宋体"/>
                <w:snapToGrid w:val="0"/>
                <w:color w:val="000000" w:themeColor="text1"/>
                <w:sz w:val="22"/>
                <w:szCs w:val="22"/>
                <w14:textFill>
                  <w14:solidFill>
                    <w14:schemeClr w14:val="tx1"/>
                  </w14:solidFill>
                </w14:textFill>
              </w:rPr>
              <w:t>⑤</w:t>
            </w:r>
            <w:r>
              <w:rPr>
                <w:rFonts w:ascii="Times New Roman" w:eastAsia="宋体"/>
                <w:snapToGrid w:val="0"/>
                <w:color w:val="000000" w:themeColor="text1"/>
                <w:sz w:val="22"/>
                <w:szCs w:val="22"/>
                <w14:textFill>
                  <w14:solidFill>
                    <w14:schemeClr w14:val="tx1"/>
                  </w14:solidFill>
                </w14:textFill>
              </w:rPr>
              <w:fldChar w:fldCharType="end"/>
            </w:r>
          </w:p>
        </w:tc>
        <w:tc>
          <w:tcPr>
            <w:tcW w:w="628" w:type="pct"/>
            <w:tcMar>
              <w:left w:w="28" w:type="dxa"/>
              <w:right w:w="28" w:type="dxa"/>
            </w:tcMar>
            <w:vAlign w:val="center"/>
          </w:tcPr>
          <w:p w14:paraId="7F0B1B39">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本项目建成后</w:t>
            </w:r>
          </w:p>
          <w:p w14:paraId="45038DB9">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全厂排放量（固体废物产生量）</w:t>
            </w:r>
            <w:r>
              <w:rPr>
                <w:rFonts w:ascii="Times New Roman" w:eastAsia="宋体"/>
                <w:snapToGrid w:val="0"/>
                <w:color w:val="000000" w:themeColor="text1"/>
                <w:sz w:val="22"/>
                <w:szCs w:val="22"/>
                <w14:textFill>
                  <w14:solidFill>
                    <w14:schemeClr w14:val="tx1"/>
                  </w14:solidFill>
                </w14:textFill>
              </w:rPr>
              <w:fldChar w:fldCharType="begin"/>
            </w:r>
            <w:r>
              <w:rPr>
                <w:rFonts w:ascii="Times New Roman" w:eastAsia="宋体"/>
                <w:snapToGrid w:val="0"/>
                <w:color w:val="000000" w:themeColor="text1"/>
                <w:sz w:val="22"/>
                <w:szCs w:val="22"/>
                <w14:textFill>
                  <w14:solidFill>
                    <w14:schemeClr w14:val="tx1"/>
                  </w14:solidFill>
                </w14:textFill>
              </w:rPr>
              <w:instrText xml:space="preserve"> = 6 \* GB3 \* MERGEFORMAT </w:instrText>
            </w:r>
            <w:r>
              <w:rPr>
                <w:rFonts w:ascii="Times New Roman" w:eastAsia="宋体"/>
                <w:snapToGrid w:val="0"/>
                <w:color w:val="000000" w:themeColor="text1"/>
                <w:sz w:val="22"/>
                <w:szCs w:val="22"/>
                <w14:textFill>
                  <w14:solidFill>
                    <w14:schemeClr w14:val="tx1"/>
                  </w14:solidFill>
                </w14:textFill>
              </w:rPr>
              <w:fldChar w:fldCharType="separate"/>
            </w:r>
            <w:r>
              <w:rPr>
                <w:rFonts w:ascii="Times New Roman" w:eastAsia="宋体"/>
                <w:snapToGrid w:val="0"/>
                <w:color w:val="000000" w:themeColor="text1"/>
                <w:sz w:val="22"/>
                <w:szCs w:val="22"/>
                <w14:textFill>
                  <w14:solidFill>
                    <w14:schemeClr w14:val="tx1"/>
                  </w14:solidFill>
                </w14:textFill>
              </w:rPr>
              <w:t>⑥</w:t>
            </w:r>
            <w:r>
              <w:rPr>
                <w:rFonts w:ascii="Times New Roman" w:eastAsia="宋体"/>
                <w:snapToGrid w:val="0"/>
                <w:color w:val="000000" w:themeColor="text1"/>
                <w:sz w:val="22"/>
                <w:szCs w:val="22"/>
                <w14:textFill>
                  <w14:solidFill>
                    <w14:schemeClr w14:val="tx1"/>
                  </w14:solidFill>
                </w14:textFill>
              </w:rPr>
              <w:fldChar w:fldCharType="end"/>
            </w:r>
          </w:p>
        </w:tc>
        <w:tc>
          <w:tcPr>
            <w:tcW w:w="532" w:type="pct"/>
            <w:tcMar>
              <w:left w:w="28" w:type="dxa"/>
              <w:right w:w="28" w:type="dxa"/>
            </w:tcMar>
            <w:vAlign w:val="center"/>
          </w:tcPr>
          <w:p w14:paraId="79462527">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t>变化量</w:t>
            </w:r>
          </w:p>
          <w:p w14:paraId="1374175B">
            <w:pPr>
              <w:pStyle w:val="56"/>
              <w:spacing w:beforeLines="0" w:afterLines="0" w:line="240" w:lineRule="auto"/>
              <w:rPr>
                <w:rFonts w:ascii="Times New Roman" w:eastAsia="宋体"/>
                <w:snapToGrid w:val="0"/>
                <w:color w:val="000000" w:themeColor="text1"/>
                <w:sz w:val="22"/>
                <w:szCs w:val="22"/>
                <w14:textFill>
                  <w14:solidFill>
                    <w14:schemeClr w14:val="tx1"/>
                  </w14:solidFill>
                </w14:textFill>
              </w:rPr>
            </w:pPr>
            <w:r>
              <w:rPr>
                <w:rFonts w:ascii="Times New Roman" w:eastAsia="宋体"/>
                <w:snapToGrid w:val="0"/>
                <w:color w:val="000000" w:themeColor="text1"/>
                <w:sz w:val="22"/>
                <w:szCs w:val="22"/>
                <w14:textFill>
                  <w14:solidFill>
                    <w14:schemeClr w14:val="tx1"/>
                  </w14:solidFill>
                </w14:textFill>
              </w:rPr>
              <w:fldChar w:fldCharType="begin"/>
            </w:r>
            <w:r>
              <w:rPr>
                <w:rFonts w:ascii="Times New Roman" w:eastAsia="宋体"/>
                <w:snapToGrid w:val="0"/>
                <w:color w:val="000000" w:themeColor="text1"/>
                <w:sz w:val="22"/>
                <w:szCs w:val="22"/>
                <w14:textFill>
                  <w14:solidFill>
                    <w14:schemeClr w14:val="tx1"/>
                  </w14:solidFill>
                </w14:textFill>
              </w:rPr>
              <w:instrText xml:space="preserve"> = 7 \* GB3 \* MERGEFORMAT </w:instrText>
            </w:r>
            <w:r>
              <w:rPr>
                <w:rFonts w:ascii="Times New Roman" w:eastAsia="宋体"/>
                <w:snapToGrid w:val="0"/>
                <w:color w:val="000000" w:themeColor="text1"/>
                <w:sz w:val="22"/>
                <w:szCs w:val="22"/>
                <w14:textFill>
                  <w14:solidFill>
                    <w14:schemeClr w14:val="tx1"/>
                  </w14:solidFill>
                </w14:textFill>
              </w:rPr>
              <w:fldChar w:fldCharType="separate"/>
            </w:r>
            <w:r>
              <w:rPr>
                <w:rFonts w:ascii="Times New Roman" w:eastAsia="宋体"/>
                <w:snapToGrid w:val="0"/>
                <w:color w:val="000000" w:themeColor="text1"/>
                <w:sz w:val="22"/>
                <w:szCs w:val="22"/>
                <w14:textFill>
                  <w14:solidFill>
                    <w14:schemeClr w14:val="tx1"/>
                  </w14:solidFill>
                </w14:textFill>
              </w:rPr>
              <w:t>⑦</w:t>
            </w:r>
            <w:r>
              <w:rPr>
                <w:rFonts w:ascii="Times New Roman" w:eastAsia="宋体"/>
                <w:snapToGrid w:val="0"/>
                <w:color w:val="000000" w:themeColor="text1"/>
                <w:sz w:val="22"/>
                <w:szCs w:val="22"/>
                <w14:textFill>
                  <w14:solidFill>
                    <w14:schemeClr w14:val="tx1"/>
                  </w14:solidFill>
                </w14:textFill>
              </w:rPr>
              <w:fldChar w:fldCharType="end"/>
            </w:r>
          </w:p>
        </w:tc>
      </w:tr>
      <w:tr w14:paraId="66990F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21" w:type="pct"/>
            <w:vAlign w:val="center"/>
          </w:tcPr>
          <w:p w14:paraId="4628C667">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废气</w:t>
            </w:r>
          </w:p>
        </w:tc>
        <w:tc>
          <w:tcPr>
            <w:tcW w:w="681" w:type="pct"/>
            <w:vAlign w:val="center"/>
          </w:tcPr>
          <w:p w14:paraId="144503B0">
            <w:pPr>
              <w:jc w:val="center"/>
              <w:rPr>
                <w:rFonts w:eastAsia="宋体"/>
                <w:snapToGrid w:val="0"/>
                <w:color w:val="000000" w:themeColor="text1"/>
                <w:sz w:val="22"/>
                <w:szCs w:val="22"/>
                <w14:textFill>
                  <w14:solidFill>
                    <w14:schemeClr w14:val="tx1"/>
                  </w14:solidFill>
                </w14:textFill>
              </w:rPr>
            </w:pPr>
            <w:r>
              <w:rPr>
                <w:rFonts w:eastAsia="宋体"/>
                <w:snapToGrid w:val="0"/>
                <w:color w:val="000000" w:themeColor="text1"/>
                <w:kern w:val="21"/>
                <w:sz w:val="22"/>
                <w:szCs w:val="22"/>
                <w14:textFill>
                  <w14:solidFill>
                    <w14:schemeClr w14:val="tx1"/>
                  </w14:solidFill>
                </w14:textFill>
              </w:rPr>
              <w:t>颗粒物</w:t>
            </w:r>
          </w:p>
        </w:tc>
        <w:tc>
          <w:tcPr>
            <w:tcW w:w="580" w:type="pct"/>
            <w:vAlign w:val="center"/>
          </w:tcPr>
          <w:p w14:paraId="20348DA2">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422" w:type="pct"/>
            <w:vAlign w:val="center"/>
          </w:tcPr>
          <w:p w14:paraId="48F153D0">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8" w:type="pct"/>
            <w:vAlign w:val="center"/>
          </w:tcPr>
          <w:p w14:paraId="5BFB9791">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5" w:type="pct"/>
            <w:vAlign w:val="center"/>
          </w:tcPr>
          <w:p w14:paraId="10AD6285">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0.15t/a</w:t>
            </w:r>
          </w:p>
        </w:tc>
        <w:tc>
          <w:tcPr>
            <w:tcW w:w="578" w:type="pct"/>
            <w:vAlign w:val="center"/>
          </w:tcPr>
          <w:p w14:paraId="187C307E">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628" w:type="pct"/>
            <w:vAlign w:val="center"/>
          </w:tcPr>
          <w:p w14:paraId="28D8E104">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0.15t/a</w:t>
            </w:r>
          </w:p>
        </w:tc>
        <w:tc>
          <w:tcPr>
            <w:tcW w:w="532" w:type="pct"/>
            <w:vAlign w:val="center"/>
          </w:tcPr>
          <w:p w14:paraId="04E26A28">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0.15t/a</w:t>
            </w:r>
          </w:p>
        </w:tc>
      </w:tr>
      <w:tr w14:paraId="3DD35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421" w:type="pct"/>
            <w:vMerge w:val="restart"/>
            <w:vAlign w:val="center"/>
          </w:tcPr>
          <w:p w14:paraId="0E172CCC">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废水</w:t>
            </w:r>
          </w:p>
        </w:tc>
        <w:tc>
          <w:tcPr>
            <w:tcW w:w="681" w:type="pct"/>
            <w:vAlign w:val="center"/>
          </w:tcPr>
          <w:p w14:paraId="01BAEB55">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COD</w:t>
            </w:r>
          </w:p>
        </w:tc>
        <w:tc>
          <w:tcPr>
            <w:tcW w:w="580" w:type="pct"/>
            <w:vAlign w:val="center"/>
          </w:tcPr>
          <w:p w14:paraId="50A79CEF">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422" w:type="pct"/>
            <w:vAlign w:val="center"/>
          </w:tcPr>
          <w:p w14:paraId="2C40102B">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8" w:type="pct"/>
            <w:vAlign w:val="center"/>
          </w:tcPr>
          <w:p w14:paraId="22678BFE">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5" w:type="pct"/>
            <w:vAlign w:val="center"/>
          </w:tcPr>
          <w:p w14:paraId="645D83D5">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8" w:type="pct"/>
            <w:vAlign w:val="center"/>
          </w:tcPr>
          <w:p w14:paraId="1BCBA53B">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628" w:type="pct"/>
            <w:vAlign w:val="center"/>
          </w:tcPr>
          <w:p w14:paraId="347655B7">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32" w:type="pct"/>
            <w:vAlign w:val="center"/>
          </w:tcPr>
          <w:p w14:paraId="7D17A6CF">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r>
      <w:tr w14:paraId="2FBE5B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421" w:type="pct"/>
            <w:vMerge w:val="continue"/>
            <w:vAlign w:val="center"/>
          </w:tcPr>
          <w:p w14:paraId="3DA81DF5">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p>
        </w:tc>
        <w:tc>
          <w:tcPr>
            <w:tcW w:w="681" w:type="pct"/>
            <w:vAlign w:val="center"/>
          </w:tcPr>
          <w:p w14:paraId="71B7502F">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NH</w:t>
            </w:r>
            <w:r>
              <w:rPr>
                <w:rFonts w:ascii="Times New Roman" w:eastAsia="宋体"/>
                <w:snapToGrid w:val="0"/>
                <w:color w:val="000000" w:themeColor="text1"/>
                <w:kern w:val="21"/>
                <w:sz w:val="22"/>
                <w:szCs w:val="22"/>
                <w:vertAlign w:val="subscript"/>
                <w14:textFill>
                  <w14:solidFill>
                    <w14:schemeClr w14:val="tx1"/>
                  </w14:solidFill>
                </w14:textFill>
              </w:rPr>
              <w:t>3</w:t>
            </w:r>
            <w:r>
              <w:rPr>
                <w:rFonts w:ascii="Times New Roman" w:eastAsia="宋体"/>
                <w:snapToGrid w:val="0"/>
                <w:color w:val="000000" w:themeColor="text1"/>
                <w:kern w:val="21"/>
                <w:sz w:val="22"/>
                <w:szCs w:val="22"/>
                <w14:textFill>
                  <w14:solidFill>
                    <w14:schemeClr w14:val="tx1"/>
                  </w14:solidFill>
                </w14:textFill>
              </w:rPr>
              <w:t>-N</w:t>
            </w:r>
          </w:p>
        </w:tc>
        <w:tc>
          <w:tcPr>
            <w:tcW w:w="580" w:type="pct"/>
            <w:vAlign w:val="center"/>
          </w:tcPr>
          <w:p w14:paraId="1F0027C6">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422" w:type="pct"/>
            <w:vAlign w:val="center"/>
          </w:tcPr>
          <w:p w14:paraId="16141BE0">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8" w:type="pct"/>
            <w:vAlign w:val="center"/>
          </w:tcPr>
          <w:p w14:paraId="4DC94716">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5" w:type="pct"/>
            <w:vAlign w:val="center"/>
          </w:tcPr>
          <w:p w14:paraId="33B018A8">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8" w:type="pct"/>
            <w:vAlign w:val="center"/>
          </w:tcPr>
          <w:p w14:paraId="58D012D8">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628" w:type="pct"/>
            <w:vAlign w:val="center"/>
          </w:tcPr>
          <w:p w14:paraId="628ECE93">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32" w:type="pct"/>
            <w:vAlign w:val="center"/>
          </w:tcPr>
          <w:p w14:paraId="2D647346">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r>
      <w:tr w14:paraId="5FA3A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21" w:type="pct"/>
            <w:vMerge w:val="restart"/>
            <w:vAlign w:val="center"/>
          </w:tcPr>
          <w:p w14:paraId="55121ECB">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一般</w:t>
            </w:r>
          </w:p>
          <w:p w14:paraId="60FD7660">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固体废物</w:t>
            </w:r>
          </w:p>
        </w:tc>
        <w:tc>
          <w:tcPr>
            <w:tcW w:w="681" w:type="pct"/>
            <w:vAlign w:val="center"/>
          </w:tcPr>
          <w:p w14:paraId="61A7946F">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布袋除尘器收尘</w:t>
            </w:r>
          </w:p>
        </w:tc>
        <w:tc>
          <w:tcPr>
            <w:tcW w:w="580" w:type="pct"/>
            <w:vAlign w:val="center"/>
          </w:tcPr>
          <w:p w14:paraId="58FDBF59">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422" w:type="pct"/>
            <w:vAlign w:val="center"/>
          </w:tcPr>
          <w:p w14:paraId="265FD881">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8" w:type="pct"/>
            <w:vAlign w:val="center"/>
          </w:tcPr>
          <w:p w14:paraId="6C62564D">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5" w:type="pct"/>
            <w:vAlign w:val="center"/>
          </w:tcPr>
          <w:p w14:paraId="3A0FD662">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14.97t/a</w:t>
            </w:r>
          </w:p>
        </w:tc>
        <w:tc>
          <w:tcPr>
            <w:tcW w:w="578" w:type="pct"/>
            <w:vAlign w:val="center"/>
          </w:tcPr>
          <w:p w14:paraId="4E752238">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628" w:type="pct"/>
            <w:vAlign w:val="center"/>
          </w:tcPr>
          <w:p w14:paraId="0915F6DD">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14.97t/a</w:t>
            </w:r>
          </w:p>
        </w:tc>
        <w:tc>
          <w:tcPr>
            <w:tcW w:w="532" w:type="pct"/>
            <w:vAlign w:val="center"/>
          </w:tcPr>
          <w:p w14:paraId="3E6F008E">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14.97t/a</w:t>
            </w:r>
          </w:p>
        </w:tc>
      </w:tr>
      <w:tr w14:paraId="72414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21" w:type="pct"/>
            <w:vMerge w:val="continue"/>
            <w:vAlign w:val="center"/>
          </w:tcPr>
          <w:p w14:paraId="2422DD98">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p>
        </w:tc>
        <w:tc>
          <w:tcPr>
            <w:tcW w:w="681" w:type="pct"/>
            <w:vAlign w:val="center"/>
          </w:tcPr>
          <w:p w14:paraId="79A9CBA4">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废包装袋</w:t>
            </w:r>
          </w:p>
        </w:tc>
        <w:tc>
          <w:tcPr>
            <w:tcW w:w="580" w:type="pct"/>
            <w:vAlign w:val="center"/>
          </w:tcPr>
          <w:p w14:paraId="0F48DD88">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422" w:type="pct"/>
            <w:vAlign w:val="center"/>
          </w:tcPr>
          <w:p w14:paraId="39980C9D">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8" w:type="pct"/>
            <w:vAlign w:val="center"/>
          </w:tcPr>
          <w:p w14:paraId="24A4F14B">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5" w:type="pct"/>
            <w:vAlign w:val="center"/>
          </w:tcPr>
          <w:p w14:paraId="48CCF459">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0.5t/a</w:t>
            </w:r>
          </w:p>
        </w:tc>
        <w:tc>
          <w:tcPr>
            <w:tcW w:w="578" w:type="pct"/>
            <w:vAlign w:val="center"/>
          </w:tcPr>
          <w:p w14:paraId="3E4F1CD0">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1672" w:type="dxa"/>
            <w:vAlign w:val="center"/>
          </w:tcPr>
          <w:p w14:paraId="15FA2F03">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0.5t/a</w:t>
            </w:r>
          </w:p>
        </w:tc>
        <w:tc>
          <w:tcPr>
            <w:tcW w:w="1417" w:type="dxa"/>
            <w:vAlign w:val="center"/>
          </w:tcPr>
          <w:p w14:paraId="3BE0F462">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0.5t/a</w:t>
            </w:r>
          </w:p>
        </w:tc>
      </w:tr>
      <w:tr w14:paraId="2C846A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21" w:type="pct"/>
            <w:vMerge w:val="continue"/>
            <w:vAlign w:val="center"/>
          </w:tcPr>
          <w:p w14:paraId="2E5542BB">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p>
        </w:tc>
        <w:tc>
          <w:tcPr>
            <w:tcW w:w="681" w:type="pct"/>
            <w:vAlign w:val="center"/>
          </w:tcPr>
          <w:p w14:paraId="279E1CFD">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废布袋</w:t>
            </w:r>
          </w:p>
        </w:tc>
        <w:tc>
          <w:tcPr>
            <w:tcW w:w="580" w:type="pct"/>
            <w:vAlign w:val="center"/>
          </w:tcPr>
          <w:p w14:paraId="3ABFEF7D">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422" w:type="pct"/>
            <w:vAlign w:val="center"/>
          </w:tcPr>
          <w:p w14:paraId="566ABA25">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8" w:type="pct"/>
            <w:vAlign w:val="center"/>
          </w:tcPr>
          <w:p w14:paraId="69392897">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575" w:type="pct"/>
            <w:vAlign w:val="center"/>
          </w:tcPr>
          <w:p w14:paraId="763582A6">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0.1t/a</w:t>
            </w:r>
          </w:p>
        </w:tc>
        <w:tc>
          <w:tcPr>
            <w:tcW w:w="578" w:type="pct"/>
            <w:vAlign w:val="center"/>
          </w:tcPr>
          <w:p w14:paraId="2AFEAA42">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w:t>
            </w:r>
          </w:p>
        </w:tc>
        <w:tc>
          <w:tcPr>
            <w:tcW w:w="1672" w:type="dxa"/>
            <w:vAlign w:val="center"/>
          </w:tcPr>
          <w:p w14:paraId="3C73DF52">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0.1t/a</w:t>
            </w:r>
          </w:p>
        </w:tc>
        <w:tc>
          <w:tcPr>
            <w:tcW w:w="1417" w:type="dxa"/>
            <w:vAlign w:val="center"/>
          </w:tcPr>
          <w:p w14:paraId="593906A7">
            <w:pPr>
              <w:pStyle w:val="56"/>
              <w:spacing w:beforeLines="0" w:afterLines="0" w:line="240" w:lineRule="auto"/>
              <w:rPr>
                <w:rFonts w:ascii="Times New Roman" w:eastAsia="宋体"/>
                <w:snapToGrid w:val="0"/>
                <w:color w:val="000000" w:themeColor="text1"/>
                <w:kern w:val="21"/>
                <w:sz w:val="22"/>
                <w:szCs w:val="22"/>
                <w14:textFill>
                  <w14:solidFill>
                    <w14:schemeClr w14:val="tx1"/>
                  </w14:solidFill>
                </w14:textFill>
              </w:rPr>
            </w:pPr>
            <w:r>
              <w:rPr>
                <w:rFonts w:ascii="Times New Roman" w:eastAsia="宋体"/>
                <w:snapToGrid w:val="0"/>
                <w:color w:val="000000" w:themeColor="text1"/>
                <w:kern w:val="21"/>
                <w:sz w:val="22"/>
                <w:szCs w:val="22"/>
                <w14:textFill>
                  <w14:solidFill>
                    <w14:schemeClr w14:val="tx1"/>
                  </w14:solidFill>
                </w14:textFill>
              </w:rPr>
              <w:t>0.1t/a</w:t>
            </w:r>
          </w:p>
        </w:tc>
      </w:tr>
    </w:tbl>
    <w:p w14:paraId="25FB2097">
      <w:pPr>
        <w:pStyle w:val="56"/>
        <w:spacing w:before="192" w:beforeLines="80" w:after="24"/>
        <w:jc w:val="left"/>
        <w:rPr>
          <w:rFonts w:ascii="Times New Roman" w:eastAsia="宋体"/>
          <w:snapToGrid w:val="0"/>
          <w:color w:val="000000" w:themeColor="text1"/>
          <w:spacing w:val="-6"/>
          <w:kern w:val="21"/>
          <w:sz w:val="32"/>
          <w:szCs w:val="32"/>
          <w14:textFill>
            <w14:solidFill>
              <w14:schemeClr w14:val="tx1"/>
            </w14:solidFill>
          </w14:textFill>
        </w:rPr>
      </w:pPr>
      <w:r>
        <w:rPr>
          <w:rFonts w:ascii="Times New Roman" w:eastAsia="宋体"/>
          <w:snapToGrid w:val="0"/>
          <w:color w:val="000000" w:themeColor="text1"/>
          <w:kern w:val="21"/>
          <w:sz w:val="24"/>
          <w:szCs w:val="24"/>
          <w14:textFill>
            <w14:solidFill>
              <w14:schemeClr w14:val="tx1"/>
            </w14:solidFill>
          </w14:textFill>
        </w:rPr>
        <w:t>注：</w:t>
      </w:r>
      <w:r>
        <w:rPr>
          <w:rFonts w:ascii="Times New Roman" w:eastAsia="宋体"/>
          <w:snapToGrid w:val="0"/>
          <w:color w:val="000000" w:themeColor="text1"/>
          <w:spacing w:val="-16"/>
          <w:kern w:val="21"/>
          <w:sz w:val="24"/>
          <w:szCs w:val="24"/>
          <w14:textFill>
            <w14:solidFill>
              <w14:schemeClr w14:val="tx1"/>
            </w14:solidFill>
          </w14:textFill>
        </w:rPr>
        <w:fldChar w:fldCharType="begin"/>
      </w:r>
      <w:r>
        <w:rPr>
          <w:rFonts w:ascii="Times New Roman" w:eastAsia="宋体"/>
          <w:snapToGrid w:val="0"/>
          <w:color w:val="000000" w:themeColor="text1"/>
          <w:spacing w:val="-16"/>
          <w:kern w:val="21"/>
          <w:sz w:val="24"/>
          <w:szCs w:val="24"/>
          <w14:textFill>
            <w14:solidFill>
              <w14:schemeClr w14:val="tx1"/>
            </w14:solidFill>
          </w14:textFill>
        </w:rPr>
        <w:instrText xml:space="preserve"> = 6 \* GB3 \* MERGEFORMAT </w:instrText>
      </w:r>
      <w:r>
        <w:rPr>
          <w:rFonts w:ascii="Times New Roman" w:eastAsia="宋体"/>
          <w:snapToGrid w:val="0"/>
          <w:color w:val="000000" w:themeColor="text1"/>
          <w:spacing w:val="-16"/>
          <w:kern w:val="21"/>
          <w:sz w:val="24"/>
          <w:szCs w:val="24"/>
          <w14:textFill>
            <w14:solidFill>
              <w14:schemeClr w14:val="tx1"/>
            </w14:solidFill>
          </w14:textFill>
        </w:rPr>
        <w:fldChar w:fldCharType="separate"/>
      </w:r>
      <w:r>
        <w:rPr>
          <w:rFonts w:ascii="Times New Roman" w:eastAsia="宋体"/>
          <w:color w:val="000000" w:themeColor="text1"/>
          <w:sz w:val="24"/>
          <w:szCs w:val="24"/>
          <w14:textFill>
            <w14:solidFill>
              <w14:schemeClr w14:val="tx1"/>
            </w14:solidFill>
          </w14:textFill>
        </w:rPr>
        <w:t>⑥</w:t>
      </w:r>
      <w:r>
        <w:rPr>
          <w:rFonts w:ascii="Times New Roman" w:eastAsia="宋体"/>
          <w:snapToGrid w:val="0"/>
          <w:color w:val="000000" w:themeColor="text1"/>
          <w:spacing w:val="-16"/>
          <w:kern w:val="21"/>
          <w:sz w:val="24"/>
          <w:szCs w:val="24"/>
          <w14:textFill>
            <w14:solidFill>
              <w14:schemeClr w14:val="tx1"/>
            </w14:solidFill>
          </w14:textFill>
        </w:rPr>
        <w:fldChar w:fldCharType="end"/>
      </w:r>
      <w:r>
        <w:rPr>
          <w:rFonts w:ascii="Times New Roman" w:eastAsia="宋体"/>
          <w:snapToGrid w:val="0"/>
          <w:color w:val="000000" w:themeColor="text1"/>
          <w:spacing w:val="-16"/>
          <w:kern w:val="21"/>
          <w:sz w:val="24"/>
          <w:szCs w:val="24"/>
          <w14:textFill>
            <w14:solidFill>
              <w14:schemeClr w14:val="tx1"/>
            </w14:solidFill>
          </w14:textFill>
        </w:rPr>
        <w:t>=</w:t>
      </w:r>
      <w:r>
        <w:rPr>
          <w:rFonts w:ascii="Times New Roman" w:eastAsia="宋体"/>
          <w:snapToGrid w:val="0"/>
          <w:color w:val="000000" w:themeColor="text1"/>
          <w:spacing w:val="-6"/>
          <w:kern w:val="21"/>
          <w:sz w:val="24"/>
          <w:szCs w:val="24"/>
          <w14:textFill>
            <w14:solidFill>
              <w14:schemeClr w14:val="tx1"/>
            </w14:solidFill>
          </w14:textFill>
        </w:rPr>
        <w:fldChar w:fldCharType="begin"/>
      </w:r>
      <w:r>
        <w:rPr>
          <w:rFonts w:ascii="Times New Roman" w:eastAsia="宋体"/>
          <w:snapToGrid w:val="0"/>
          <w:color w:val="000000" w:themeColor="text1"/>
          <w:spacing w:val="-6"/>
          <w:kern w:val="21"/>
          <w:sz w:val="24"/>
          <w:szCs w:val="24"/>
          <w14:textFill>
            <w14:solidFill>
              <w14:schemeClr w14:val="tx1"/>
            </w14:solidFill>
          </w14:textFill>
        </w:rPr>
        <w:instrText xml:space="preserve"> = 1 \* GB3 \* MERGEFORMAT </w:instrText>
      </w:r>
      <w:r>
        <w:rPr>
          <w:rFonts w:ascii="Times New Roman" w:eastAsia="宋体"/>
          <w:snapToGrid w:val="0"/>
          <w:color w:val="000000" w:themeColor="text1"/>
          <w:spacing w:val="-6"/>
          <w:kern w:val="21"/>
          <w:sz w:val="24"/>
          <w:szCs w:val="24"/>
          <w14:textFill>
            <w14:solidFill>
              <w14:schemeClr w14:val="tx1"/>
            </w14:solidFill>
          </w14:textFill>
        </w:rPr>
        <w:fldChar w:fldCharType="separate"/>
      </w:r>
      <w:r>
        <w:rPr>
          <w:rFonts w:ascii="Times New Roman" w:eastAsia="宋体"/>
          <w:color w:val="000000" w:themeColor="text1"/>
          <w:sz w:val="24"/>
          <w:szCs w:val="24"/>
          <w14:textFill>
            <w14:solidFill>
              <w14:schemeClr w14:val="tx1"/>
            </w14:solidFill>
          </w14:textFill>
        </w:rPr>
        <w:t>①</w:t>
      </w:r>
      <w:r>
        <w:rPr>
          <w:rFonts w:ascii="Times New Roman" w:eastAsia="宋体"/>
          <w:snapToGrid w:val="0"/>
          <w:color w:val="000000" w:themeColor="text1"/>
          <w:spacing w:val="-6"/>
          <w:kern w:val="21"/>
          <w:sz w:val="24"/>
          <w:szCs w:val="24"/>
          <w14:textFill>
            <w14:solidFill>
              <w14:schemeClr w14:val="tx1"/>
            </w14:solidFill>
          </w14:textFill>
        </w:rPr>
        <w:fldChar w:fldCharType="end"/>
      </w:r>
      <w:r>
        <w:rPr>
          <w:rFonts w:ascii="Times New Roman" w:eastAsia="宋体"/>
          <w:snapToGrid w:val="0"/>
          <w:color w:val="000000" w:themeColor="text1"/>
          <w:spacing w:val="-6"/>
          <w:kern w:val="21"/>
          <w:sz w:val="24"/>
          <w:szCs w:val="24"/>
          <w14:textFill>
            <w14:solidFill>
              <w14:schemeClr w14:val="tx1"/>
            </w14:solidFill>
          </w14:textFill>
        </w:rPr>
        <w:t>+</w:t>
      </w:r>
      <w:r>
        <w:rPr>
          <w:rFonts w:ascii="Times New Roman" w:eastAsia="宋体"/>
          <w:snapToGrid w:val="0"/>
          <w:color w:val="000000" w:themeColor="text1"/>
          <w:spacing w:val="-6"/>
          <w:kern w:val="21"/>
          <w:sz w:val="24"/>
          <w:szCs w:val="24"/>
          <w14:textFill>
            <w14:solidFill>
              <w14:schemeClr w14:val="tx1"/>
            </w14:solidFill>
          </w14:textFill>
        </w:rPr>
        <w:fldChar w:fldCharType="begin"/>
      </w:r>
      <w:r>
        <w:rPr>
          <w:rFonts w:ascii="Times New Roman" w:eastAsia="宋体"/>
          <w:snapToGrid w:val="0"/>
          <w:color w:val="000000" w:themeColor="text1"/>
          <w:spacing w:val="-6"/>
          <w:kern w:val="21"/>
          <w:sz w:val="24"/>
          <w:szCs w:val="24"/>
          <w14:textFill>
            <w14:solidFill>
              <w14:schemeClr w14:val="tx1"/>
            </w14:solidFill>
          </w14:textFill>
        </w:rPr>
        <w:instrText xml:space="preserve"> = 3 \* GB3 \* MERGEFORMAT </w:instrText>
      </w:r>
      <w:r>
        <w:rPr>
          <w:rFonts w:ascii="Times New Roman" w:eastAsia="宋体"/>
          <w:snapToGrid w:val="0"/>
          <w:color w:val="000000" w:themeColor="text1"/>
          <w:spacing w:val="-6"/>
          <w:kern w:val="21"/>
          <w:sz w:val="24"/>
          <w:szCs w:val="24"/>
          <w14:textFill>
            <w14:solidFill>
              <w14:schemeClr w14:val="tx1"/>
            </w14:solidFill>
          </w14:textFill>
        </w:rPr>
        <w:fldChar w:fldCharType="separate"/>
      </w:r>
      <w:r>
        <w:rPr>
          <w:rFonts w:ascii="Times New Roman" w:eastAsia="宋体"/>
          <w:color w:val="000000" w:themeColor="text1"/>
          <w:sz w:val="24"/>
          <w:szCs w:val="24"/>
          <w14:textFill>
            <w14:solidFill>
              <w14:schemeClr w14:val="tx1"/>
            </w14:solidFill>
          </w14:textFill>
        </w:rPr>
        <w:t>③</w:t>
      </w:r>
      <w:r>
        <w:rPr>
          <w:rFonts w:ascii="Times New Roman" w:eastAsia="宋体"/>
          <w:snapToGrid w:val="0"/>
          <w:color w:val="000000" w:themeColor="text1"/>
          <w:spacing w:val="-6"/>
          <w:kern w:val="21"/>
          <w:sz w:val="24"/>
          <w:szCs w:val="24"/>
          <w14:textFill>
            <w14:solidFill>
              <w14:schemeClr w14:val="tx1"/>
            </w14:solidFill>
          </w14:textFill>
        </w:rPr>
        <w:fldChar w:fldCharType="end"/>
      </w:r>
      <w:r>
        <w:rPr>
          <w:rFonts w:ascii="Times New Roman" w:eastAsia="宋体"/>
          <w:snapToGrid w:val="0"/>
          <w:color w:val="000000" w:themeColor="text1"/>
          <w:spacing w:val="-6"/>
          <w:kern w:val="21"/>
          <w:sz w:val="24"/>
          <w:szCs w:val="24"/>
          <w14:textFill>
            <w14:solidFill>
              <w14:schemeClr w14:val="tx1"/>
            </w14:solidFill>
          </w14:textFill>
        </w:rPr>
        <w:t>+</w:t>
      </w:r>
      <w:r>
        <w:rPr>
          <w:rFonts w:ascii="Times New Roman" w:eastAsia="宋体"/>
          <w:snapToGrid w:val="0"/>
          <w:color w:val="000000" w:themeColor="text1"/>
          <w:spacing w:val="-6"/>
          <w:kern w:val="21"/>
          <w:sz w:val="24"/>
          <w:szCs w:val="24"/>
          <w14:textFill>
            <w14:solidFill>
              <w14:schemeClr w14:val="tx1"/>
            </w14:solidFill>
          </w14:textFill>
        </w:rPr>
        <w:fldChar w:fldCharType="begin"/>
      </w:r>
      <w:r>
        <w:rPr>
          <w:rFonts w:ascii="Times New Roman" w:eastAsia="宋体"/>
          <w:snapToGrid w:val="0"/>
          <w:color w:val="000000" w:themeColor="text1"/>
          <w:spacing w:val="-6"/>
          <w:kern w:val="21"/>
          <w:sz w:val="24"/>
          <w:szCs w:val="24"/>
          <w14:textFill>
            <w14:solidFill>
              <w14:schemeClr w14:val="tx1"/>
            </w14:solidFill>
          </w14:textFill>
        </w:rPr>
        <w:instrText xml:space="preserve"> = 4 \* GB3 \* MERGEFORMAT </w:instrText>
      </w:r>
      <w:r>
        <w:rPr>
          <w:rFonts w:ascii="Times New Roman" w:eastAsia="宋体"/>
          <w:snapToGrid w:val="0"/>
          <w:color w:val="000000" w:themeColor="text1"/>
          <w:spacing w:val="-6"/>
          <w:kern w:val="21"/>
          <w:sz w:val="24"/>
          <w:szCs w:val="24"/>
          <w14:textFill>
            <w14:solidFill>
              <w14:schemeClr w14:val="tx1"/>
            </w14:solidFill>
          </w14:textFill>
        </w:rPr>
        <w:fldChar w:fldCharType="separate"/>
      </w:r>
      <w:r>
        <w:rPr>
          <w:rFonts w:ascii="Times New Roman" w:eastAsia="宋体"/>
          <w:color w:val="000000" w:themeColor="text1"/>
          <w:sz w:val="24"/>
          <w:szCs w:val="24"/>
          <w14:textFill>
            <w14:solidFill>
              <w14:schemeClr w14:val="tx1"/>
            </w14:solidFill>
          </w14:textFill>
        </w:rPr>
        <w:t>④</w:t>
      </w:r>
      <w:r>
        <w:rPr>
          <w:rFonts w:ascii="Times New Roman" w:eastAsia="宋体"/>
          <w:snapToGrid w:val="0"/>
          <w:color w:val="000000" w:themeColor="text1"/>
          <w:spacing w:val="-6"/>
          <w:kern w:val="21"/>
          <w:sz w:val="24"/>
          <w:szCs w:val="24"/>
          <w14:textFill>
            <w14:solidFill>
              <w14:schemeClr w14:val="tx1"/>
            </w14:solidFill>
          </w14:textFill>
        </w:rPr>
        <w:fldChar w:fldCharType="end"/>
      </w:r>
      <w:r>
        <w:rPr>
          <w:rFonts w:ascii="Times New Roman" w:eastAsia="宋体"/>
          <w:snapToGrid w:val="0"/>
          <w:color w:val="000000" w:themeColor="text1"/>
          <w:spacing w:val="-6"/>
          <w:kern w:val="21"/>
          <w:sz w:val="24"/>
          <w:szCs w:val="24"/>
          <w14:textFill>
            <w14:solidFill>
              <w14:schemeClr w14:val="tx1"/>
            </w14:solidFill>
          </w14:textFill>
        </w:rPr>
        <w:t>-</w:t>
      </w:r>
      <w:r>
        <w:rPr>
          <w:rFonts w:ascii="Times New Roman" w:eastAsia="宋体"/>
          <w:snapToGrid w:val="0"/>
          <w:color w:val="000000" w:themeColor="text1"/>
          <w:spacing w:val="-16"/>
          <w:kern w:val="21"/>
          <w:sz w:val="24"/>
          <w:szCs w:val="24"/>
          <w14:textFill>
            <w14:solidFill>
              <w14:schemeClr w14:val="tx1"/>
            </w14:solidFill>
          </w14:textFill>
        </w:rPr>
        <w:fldChar w:fldCharType="begin"/>
      </w:r>
      <w:r>
        <w:rPr>
          <w:rFonts w:ascii="Times New Roman" w:eastAsia="宋体"/>
          <w:snapToGrid w:val="0"/>
          <w:color w:val="000000" w:themeColor="text1"/>
          <w:spacing w:val="-16"/>
          <w:kern w:val="21"/>
          <w:sz w:val="24"/>
          <w:szCs w:val="24"/>
          <w14:textFill>
            <w14:solidFill>
              <w14:schemeClr w14:val="tx1"/>
            </w14:solidFill>
          </w14:textFill>
        </w:rPr>
        <w:instrText xml:space="preserve"> = 5 \* GB3 \* MERGEFORMAT </w:instrText>
      </w:r>
      <w:r>
        <w:rPr>
          <w:rFonts w:ascii="Times New Roman" w:eastAsia="宋体"/>
          <w:snapToGrid w:val="0"/>
          <w:color w:val="000000" w:themeColor="text1"/>
          <w:spacing w:val="-16"/>
          <w:kern w:val="21"/>
          <w:sz w:val="24"/>
          <w:szCs w:val="24"/>
          <w14:textFill>
            <w14:solidFill>
              <w14:schemeClr w14:val="tx1"/>
            </w14:solidFill>
          </w14:textFill>
        </w:rPr>
        <w:fldChar w:fldCharType="separate"/>
      </w:r>
      <w:r>
        <w:rPr>
          <w:rFonts w:ascii="Times New Roman" w:eastAsia="宋体"/>
          <w:color w:val="000000" w:themeColor="text1"/>
          <w:sz w:val="24"/>
          <w:szCs w:val="24"/>
          <w14:textFill>
            <w14:solidFill>
              <w14:schemeClr w14:val="tx1"/>
            </w14:solidFill>
          </w14:textFill>
        </w:rPr>
        <w:t>⑤</w:t>
      </w:r>
      <w:r>
        <w:rPr>
          <w:rFonts w:ascii="Times New Roman" w:eastAsia="宋体"/>
          <w:snapToGrid w:val="0"/>
          <w:color w:val="000000" w:themeColor="text1"/>
          <w:spacing w:val="-16"/>
          <w:kern w:val="21"/>
          <w:sz w:val="24"/>
          <w:szCs w:val="24"/>
          <w14:textFill>
            <w14:solidFill>
              <w14:schemeClr w14:val="tx1"/>
            </w14:solidFill>
          </w14:textFill>
        </w:rPr>
        <w:fldChar w:fldCharType="end"/>
      </w:r>
      <w:r>
        <w:rPr>
          <w:rFonts w:ascii="Times New Roman" w:eastAsia="宋体"/>
          <w:snapToGrid w:val="0"/>
          <w:color w:val="000000" w:themeColor="text1"/>
          <w:spacing w:val="-16"/>
          <w:kern w:val="21"/>
          <w:sz w:val="24"/>
          <w:szCs w:val="24"/>
          <w14:textFill>
            <w14:solidFill>
              <w14:schemeClr w14:val="tx1"/>
            </w14:solidFill>
          </w14:textFill>
        </w:rPr>
        <w:t>；</w:t>
      </w:r>
      <w:r>
        <w:rPr>
          <w:rFonts w:ascii="Times New Roman" w:eastAsia="宋体"/>
          <w:snapToGrid w:val="0"/>
          <w:color w:val="000000" w:themeColor="text1"/>
          <w:spacing w:val="-6"/>
          <w:kern w:val="21"/>
          <w:sz w:val="24"/>
          <w:szCs w:val="24"/>
          <w14:textFill>
            <w14:solidFill>
              <w14:schemeClr w14:val="tx1"/>
            </w14:solidFill>
          </w14:textFill>
        </w:rPr>
        <w:fldChar w:fldCharType="begin"/>
      </w:r>
      <w:r>
        <w:rPr>
          <w:rFonts w:ascii="Times New Roman" w:eastAsia="宋体"/>
          <w:snapToGrid w:val="0"/>
          <w:color w:val="000000" w:themeColor="text1"/>
          <w:spacing w:val="-6"/>
          <w:kern w:val="21"/>
          <w:sz w:val="24"/>
          <w:szCs w:val="24"/>
          <w14:textFill>
            <w14:solidFill>
              <w14:schemeClr w14:val="tx1"/>
            </w14:solidFill>
          </w14:textFill>
        </w:rPr>
        <w:instrText xml:space="preserve"> = 7 \* GB3 \* MERGEFORMAT </w:instrText>
      </w:r>
      <w:r>
        <w:rPr>
          <w:rFonts w:ascii="Times New Roman" w:eastAsia="宋体"/>
          <w:snapToGrid w:val="0"/>
          <w:color w:val="000000" w:themeColor="text1"/>
          <w:spacing w:val="-6"/>
          <w:kern w:val="21"/>
          <w:sz w:val="24"/>
          <w:szCs w:val="24"/>
          <w14:textFill>
            <w14:solidFill>
              <w14:schemeClr w14:val="tx1"/>
            </w14:solidFill>
          </w14:textFill>
        </w:rPr>
        <w:fldChar w:fldCharType="separate"/>
      </w:r>
      <w:r>
        <w:rPr>
          <w:rFonts w:ascii="Times New Roman" w:eastAsia="宋体"/>
          <w:color w:val="000000" w:themeColor="text1"/>
          <w:sz w:val="24"/>
          <w:szCs w:val="24"/>
          <w14:textFill>
            <w14:solidFill>
              <w14:schemeClr w14:val="tx1"/>
            </w14:solidFill>
          </w14:textFill>
        </w:rPr>
        <w:t>⑦</w:t>
      </w:r>
      <w:r>
        <w:rPr>
          <w:rFonts w:ascii="Times New Roman" w:eastAsia="宋体"/>
          <w:snapToGrid w:val="0"/>
          <w:color w:val="000000" w:themeColor="text1"/>
          <w:spacing w:val="-6"/>
          <w:kern w:val="21"/>
          <w:sz w:val="24"/>
          <w:szCs w:val="24"/>
          <w14:textFill>
            <w14:solidFill>
              <w14:schemeClr w14:val="tx1"/>
            </w14:solidFill>
          </w14:textFill>
        </w:rPr>
        <w:fldChar w:fldCharType="end"/>
      </w:r>
      <w:r>
        <w:rPr>
          <w:rFonts w:ascii="Times New Roman" w:eastAsia="宋体"/>
          <w:snapToGrid w:val="0"/>
          <w:color w:val="000000" w:themeColor="text1"/>
          <w:spacing w:val="-6"/>
          <w:kern w:val="21"/>
          <w:sz w:val="24"/>
          <w:szCs w:val="24"/>
          <w14:textFill>
            <w14:solidFill>
              <w14:schemeClr w14:val="tx1"/>
            </w14:solidFill>
          </w14:textFill>
        </w:rPr>
        <w:t>=</w:t>
      </w:r>
      <w:r>
        <w:rPr>
          <w:rFonts w:ascii="Times New Roman" w:eastAsia="宋体"/>
          <w:snapToGrid w:val="0"/>
          <w:color w:val="000000" w:themeColor="text1"/>
          <w:spacing w:val="-16"/>
          <w:kern w:val="21"/>
          <w:sz w:val="24"/>
          <w:szCs w:val="24"/>
          <w14:textFill>
            <w14:solidFill>
              <w14:schemeClr w14:val="tx1"/>
            </w14:solidFill>
          </w14:textFill>
        </w:rPr>
        <w:fldChar w:fldCharType="begin"/>
      </w:r>
      <w:r>
        <w:rPr>
          <w:rFonts w:ascii="Times New Roman" w:eastAsia="宋体"/>
          <w:snapToGrid w:val="0"/>
          <w:color w:val="000000" w:themeColor="text1"/>
          <w:spacing w:val="-16"/>
          <w:kern w:val="21"/>
          <w:sz w:val="24"/>
          <w:szCs w:val="24"/>
          <w14:textFill>
            <w14:solidFill>
              <w14:schemeClr w14:val="tx1"/>
            </w14:solidFill>
          </w14:textFill>
        </w:rPr>
        <w:instrText xml:space="preserve"> = 6 \* GB3 \* MERGEFORMAT </w:instrText>
      </w:r>
      <w:r>
        <w:rPr>
          <w:rFonts w:ascii="Times New Roman" w:eastAsia="宋体"/>
          <w:snapToGrid w:val="0"/>
          <w:color w:val="000000" w:themeColor="text1"/>
          <w:spacing w:val="-16"/>
          <w:kern w:val="21"/>
          <w:sz w:val="24"/>
          <w:szCs w:val="24"/>
          <w14:textFill>
            <w14:solidFill>
              <w14:schemeClr w14:val="tx1"/>
            </w14:solidFill>
          </w14:textFill>
        </w:rPr>
        <w:fldChar w:fldCharType="separate"/>
      </w:r>
      <w:r>
        <w:rPr>
          <w:rFonts w:ascii="Times New Roman" w:eastAsia="宋体"/>
          <w:color w:val="000000" w:themeColor="text1"/>
          <w:sz w:val="24"/>
          <w:szCs w:val="24"/>
          <w14:textFill>
            <w14:solidFill>
              <w14:schemeClr w14:val="tx1"/>
            </w14:solidFill>
          </w14:textFill>
        </w:rPr>
        <w:t>⑥</w:t>
      </w:r>
      <w:r>
        <w:rPr>
          <w:rFonts w:ascii="Times New Roman" w:eastAsia="宋体"/>
          <w:snapToGrid w:val="0"/>
          <w:color w:val="000000" w:themeColor="text1"/>
          <w:spacing w:val="-16"/>
          <w:kern w:val="21"/>
          <w:sz w:val="24"/>
          <w:szCs w:val="24"/>
          <w14:textFill>
            <w14:solidFill>
              <w14:schemeClr w14:val="tx1"/>
            </w14:solidFill>
          </w14:textFill>
        </w:rPr>
        <w:fldChar w:fldCharType="end"/>
      </w:r>
      <w:r>
        <w:rPr>
          <w:rFonts w:ascii="Times New Roman" w:eastAsia="宋体"/>
          <w:snapToGrid w:val="0"/>
          <w:color w:val="000000" w:themeColor="text1"/>
          <w:spacing w:val="-16"/>
          <w:kern w:val="21"/>
          <w:sz w:val="24"/>
          <w:szCs w:val="24"/>
          <w14:textFill>
            <w14:solidFill>
              <w14:schemeClr w14:val="tx1"/>
            </w14:solidFill>
          </w14:textFill>
        </w:rPr>
        <w:t>-</w:t>
      </w:r>
      <w:r>
        <w:rPr>
          <w:rFonts w:ascii="Times New Roman" w:eastAsia="宋体"/>
          <w:snapToGrid w:val="0"/>
          <w:color w:val="000000" w:themeColor="text1"/>
          <w:spacing w:val="-6"/>
          <w:kern w:val="21"/>
          <w:sz w:val="24"/>
          <w:szCs w:val="24"/>
          <w14:textFill>
            <w14:solidFill>
              <w14:schemeClr w14:val="tx1"/>
            </w14:solidFill>
          </w14:textFill>
        </w:rPr>
        <w:fldChar w:fldCharType="begin"/>
      </w:r>
      <w:r>
        <w:rPr>
          <w:rFonts w:ascii="Times New Roman" w:eastAsia="宋体"/>
          <w:snapToGrid w:val="0"/>
          <w:color w:val="000000" w:themeColor="text1"/>
          <w:spacing w:val="-6"/>
          <w:kern w:val="21"/>
          <w:sz w:val="24"/>
          <w:szCs w:val="24"/>
          <w14:textFill>
            <w14:solidFill>
              <w14:schemeClr w14:val="tx1"/>
            </w14:solidFill>
          </w14:textFill>
        </w:rPr>
        <w:instrText xml:space="preserve"> = 1 \* GB3 \* MERGEFORMAT </w:instrText>
      </w:r>
      <w:r>
        <w:rPr>
          <w:rFonts w:ascii="Times New Roman" w:eastAsia="宋体"/>
          <w:snapToGrid w:val="0"/>
          <w:color w:val="000000" w:themeColor="text1"/>
          <w:spacing w:val="-6"/>
          <w:kern w:val="21"/>
          <w:sz w:val="24"/>
          <w:szCs w:val="24"/>
          <w14:textFill>
            <w14:solidFill>
              <w14:schemeClr w14:val="tx1"/>
            </w14:solidFill>
          </w14:textFill>
        </w:rPr>
        <w:fldChar w:fldCharType="separate"/>
      </w:r>
      <w:r>
        <w:rPr>
          <w:rFonts w:ascii="Times New Roman" w:eastAsia="宋体"/>
          <w:color w:val="000000" w:themeColor="text1"/>
          <w:sz w:val="24"/>
          <w:szCs w:val="24"/>
          <w14:textFill>
            <w14:solidFill>
              <w14:schemeClr w14:val="tx1"/>
            </w14:solidFill>
          </w14:textFill>
        </w:rPr>
        <w:t>①</w:t>
      </w:r>
      <w:r>
        <w:rPr>
          <w:rFonts w:ascii="Times New Roman" w:eastAsia="宋体"/>
          <w:snapToGrid w:val="0"/>
          <w:color w:val="000000" w:themeColor="text1"/>
          <w:spacing w:val="-6"/>
          <w:kern w:val="21"/>
          <w:sz w:val="24"/>
          <w:szCs w:val="24"/>
          <w14:textFill>
            <w14:solidFill>
              <w14:schemeClr w14:val="tx1"/>
            </w14:solidFill>
          </w14:textFill>
        </w:rPr>
        <w:fldChar w:fldCharType="end"/>
      </w:r>
    </w:p>
    <w:p w14:paraId="40158788">
      <w:pPr>
        <w:rPr>
          <w:rFonts w:eastAsia="宋体"/>
          <w:color w:val="000000" w:themeColor="text1"/>
          <w:sz w:val="32"/>
          <w:szCs w:val="32"/>
          <w14:textFill>
            <w14:solidFill>
              <w14:schemeClr w14:val="tx1"/>
            </w14:solidFill>
          </w14:textFill>
        </w:rPr>
        <w:sectPr>
          <w:footerReference r:id="rId7" w:type="default"/>
          <w:pgSz w:w="16838" w:h="11906" w:orient="landscape"/>
          <w:pgMar w:top="1440" w:right="1800" w:bottom="1440" w:left="1800" w:header="851" w:footer="992" w:gutter="0"/>
          <w:cols w:space="720" w:num="1"/>
          <w:docGrid w:linePitch="312" w:charSpace="0"/>
        </w:sectPr>
      </w:pPr>
    </w:p>
    <w:p w14:paraId="70B48E5C">
      <w:pPr>
        <w:pStyle w:val="78"/>
        <w:spacing w:line="240" w:lineRule="auto"/>
        <w:ind w:firstLine="0" w:firstLineChars="0"/>
        <w:jc w:val="left"/>
        <w:outlineLvl w:val="0"/>
        <w:rPr>
          <w:rFonts w:eastAsia="宋体"/>
          <w:b/>
          <w:bCs/>
          <w:snapToGrid w:val="0"/>
          <w:color w:val="000000" w:themeColor="text1"/>
          <w14:textFill>
            <w14:solidFill>
              <w14:schemeClr w14:val="tx1"/>
            </w14:solidFill>
          </w14:textFill>
        </w:rPr>
      </w:pPr>
      <w:bookmarkStart w:id="54" w:name="_Toc6198"/>
      <w:r>
        <w:rPr>
          <w:rFonts w:eastAsia="宋体"/>
          <w:b/>
          <w:bCs/>
          <w:snapToGrid w:val="0"/>
          <w:color w:val="000000" w:themeColor="text1"/>
          <w14:textFill>
            <w14:solidFill>
              <w14:schemeClr w14:val="tx1"/>
            </w14:solidFill>
          </w14:textFill>
        </w:rPr>
        <w:t>附图</w:t>
      </w:r>
      <w:bookmarkStart w:id="55" w:name="_Toc67056291"/>
      <w:bookmarkStart w:id="56" w:name="_Toc66884760"/>
      <w:r>
        <w:rPr>
          <w:rFonts w:eastAsia="宋体"/>
          <w:b/>
          <w:bCs/>
          <w:snapToGrid w:val="0"/>
          <w:color w:val="000000" w:themeColor="text1"/>
          <w14:textFill>
            <w14:solidFill>
              <w14:schemeClr w14:val="tx1"/>
            </w14:solidFill>
          </w14:textFill>
        </w:rPr>
        <w:t>1地理位置图</w:t>
      </w:r>
      <w:bookmarkEnd w:id="54"/>
      <w:bookmarkEnd w:id="55"/>
      <w:bookmarkEnd w:id="56"/>
    </w:p>
    <w:p w14:paraId="33F9312C">
      <w:pPr>
        <w:rPr>
          <w:rFonts w:eastAsia="宋体"/>
          <w:snapToGrid w:val="0"/>
          <w:color w:val="000000" w:themeColor="text1"/>
          <w:sz w:val="32"/>
          <w:szCs w:val="32"/>
          <w14:textFill>
            <w14:solidFill>
              <w14:schemeClr w14:val="tx1"/>
            </w14:solidFill>
          </w14:textFill>
        </w:rPr>
      </w:pPr>
      <w:r>
        <w:rPr>
          <w:rFonts w:eastAsia="宋体"/>
          <w:color w:val="000000" w:themeColor="text1"/>
          <w14:textFill>
            <w14:solidFill>
              <w14:schemeClr w14:val="tx1"/>
            </w14:solidFill>
          </w14:textFill>
        </w:rPr>
        <w:drawing>
          <wp:anchor distT="0" distB="0" distL="114300" distR="114300" simplePos="0" relativeHeight="251677696" behindDoc="0" locked="0" layoutInCell="1" allowOverlap="1">
            <wp:simplePos x="0" y="0"/>
            <wp:positionH relativeFrom="column">
              <wp:posOffset>4993640</wp:posOffset>
            </wp:positionH>
            <wp:positionV relativeFrom="paragraph">
              <wp:posOffset>46355</wp:posOffset>
            </wp:positionV>
            <wp:extent cx="639445" cy="610235"/>
            <wp:effectExtent l="0" t="0" r="8255" b="18415"/>
            <wp:wrapNone/>
            <wp:docPr id="66" name="图片 2" descr="745611c229ca24e3cc8be814944b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 descr="745611c229ca24e3cc8be814944b21a"/>
                    <pic:cNvPicPr>
                      <a:picLocks noChangeAspect="1"/>
                    </pic:cNvPicPr>
                  </pic:nvPicPr>
                  <pic:blipFill>
                    <a:blip r:embed="rId42"/>
                    <a:stretch>
                      <a:fillRect/>
                    </a:stretch>
                  </pic:blipFill>
                  <pic:spPr>
                    <a:xfrm>
                      <a:off x="0" y="0"/>
                      <a:ext cx="639445" cy="610235"/>
                    </a:xfrm>
                    <a:prstGeom prst="rect">
                      <a:avLst/>
                    </a:prstGeom>
                    <a:noFill/>
                    <a:ln>
                      <a:noFill/>
                    </a:ln>
                  </pic:spPr>
                </pic:pic>
              </a:graphicData>
            </a:graphic>
          </wp:anchor>
        </w:drawing>
      </w:r>
      <w:r>
        <w:rPr>
          <w:rFonts w:eastAsia="宋体"/>
          <w:color w:val="000000" w:themeColor="text1"/>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2324735</wp:posOffset>
                </wp:positionH>
                <wp:positionV relativeFrom="paragraph">
                  <wp:posOffset>1736090</wp:posOffset>
                </wp:positionV>
                <wp:extent cx="175895" cy="185420"/>
                <wp:effectExtent l="12700" t="12700" r="20955" b="30480"/>
                <wp:wrapNone/>
                <wp:docPr id="7" name="五角星 7"/>
                <wp:cNvGraphicFramePr/>
                <a:graphic xmlns:a="http://schemas.openxmlformats.org/drawingml/2006/main">
                  <a:graphicData uri="http://schemas.microsoft.com/office/word/2010/wordprocessingShape">
                    <wps:wsp>
                      <wps:cNvSpPr/>
                      <wps:spPr>
                        <a:xfrm>
                          <a:off x="0" y="0"/>
                          <a:ext cx="175895" cy="18542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3.05pt;margin-top:136.7pt;height:14.6pt;width:13.85pt;z-index:251668480;v-text-anchor:middle;mso-width-relative:page;mso-height-relative:page;" fillcolor="#FF0000" filled="t" stroked="t" coordsize="175895,185420" o:gfxdata="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Mv9Oq2QAAAAsBAAAPAAAAAAAAAAEAIAAAACIAAABkcnMvZG93bnJldi54bWxQ&#10;SwECFAAUAAAACACHTuJAOHr9MWgCAADgBAAADgAAAAAAAAABACAAAAAoAQAAZHJzL2Uyb0RvYy54&#10;bWxQSwUGAAAAAAYABgBZAQAAAgYAAAAA&#10;" path="m0,70823l67186,70824,87947,0,108708,70824,175894,70823,121539,114595,142301,185419,87947,141647,33593,185419,54355,114595xe">
                <v:path o:connectlocs="87947,0;0,70823;33593,185419;142301,185419;175894,70823" o:connectangles="247,164,82,82,0"/>
                <v:fill on="t" focussize="0,0"/>
                <v:stroke weight="2pt" color="#FF0000 [2404]" joinstyle="round"/>
                <v:imagedata o:title=""/>
                <o:lock v:ext="edit" aspectratio="f"/>
              </v:shape>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5325745</wp:posOffset>
                </wp:positionH>
                <wp:positionV relativeFrom="paragraph">
                  <wp:posOffset>3136900</wp:posOffset>
                </wp:positionV>
                <wp:extent cx="175895" cy="185420"/>
                <wp:effectExtent l="12700" t="12700" r="20955" b="30480"/>
                <wp:wrapNone/>
                <wp:docPr id="6" name="五角星 6"/>
                <wp:cNvGraphicFramePr/>
                <a:graphic xmlns:a="http://schemas.openxmlformats.org/drawingml/2006/main">
                  <a:graphicData uri="http://schemas.microsoft.com/office/word/2010/wordprocessingShape">
                    <wps:wsp>
                      <wps:cNvSpPr/>
                      <wps:spPr>
                        <a:xfrm>
                          <a:off x="6240145" y="4478020"/>
                          <a:ext cx="175895" cy="18542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19.35pt;margin-top:247pt;height:14.6pt;width:13.85pt;z-index:251667456;v-text-anchor:middle;mso-width-relative:page;mso-height-relative:page;" fillcolor="#FF0000" filled="t" stroked="t" coordsize="175895,185420" o:gfxdata="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Zb9SE2gAAAAsBAAAPAAAAAAAAAAEAIAAAACIAAABkcnMv&#10;ZG93bnJldi54bWxQSwECFAAUAAAACACHTuJAATYZwXMCAADsBAAADgAAAAAAAAABACAAAAApAQAA&#10;ZHJzL2Uyb0RvYy54bWxQSwUGAAAAAAYABgBZAQAADgYAAAAA&#10;" path="m0,70823l67186,70824,87947,0,108708,70824,175894,70823,121539,114595,142301,185419,87947,141647,33593,185419,54355,114595xe">
                <v:path o:connectlocs="87947,0;0,70823;33593,185419;142301,185419;175894,70823" o:connectangles="247,164,82,82,0"/>
                <v:fill on="t" focussize="0,0"/>
                <v:stroke weight="2pt" color="#FF0000 [2404]" joinstyle="round"/>
                <v:imagedata o:title=""/>
                <o:lock v:ext="edit" aspectratio="f"/>
              </v:shape>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4418965</wp:posOffset>
                </wp:positionH>
                <wp:positionV relativeFrom="paragraph">
                  <wp:posOffset>2886710</wp:posOffset>
                </wp:positionV>
                <wp:extent cx="1313815" cy="610870"/>
                <wp:effectExtent l="4445" t="4445" r="15240" b="13335"/>
                <wp:wrapNone/>
                <wp:docPr id="5" name="文本框 5"/>
                <wp:cNvGraphicFramePr/>
                <a:graphic xmlns:a="http://schemas.openxmlformats.org/drawingml/2006/main">
                  <a:graphicData uri="http://schemas.microsoft.com/office/word/2010/wordprocessingShape">
                    <wps:wsp>
                      <wps:cNvSpPr txBox="1"/>
                      <wps:spPr>
                        <a:xfrm>
                          <a:off x="5241290" y="3849370"/>
                          <a:ext cx="1313815" cy="6108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E2F3E7B">
                            <w:pPr>
                              <w:jc w:val="center"/>
                            </w:pPr>
                            <w:r>
                              <w:rPr>
                                <w:rFonts w:hint="eastAsia"/>
                              </w:rPr>
                              <w:t>图例</w:t>
                            </w:r>
                          </w:p>
                          <w:p w14:paraId="481F4C26">
                            <w:r>
                              <w:rPr>
                                <w:rFonts w:hint="eastAsia"/>
                              </w:rPr>
                              <w:t>厂区位置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7.95pt;margin-top:227.3pt;height:48.1pt;width:103.45pt;z-index:251666432;mso-width-relative:page;mso-height-relative:page;" fillcolor="#FFFFFF [3201]" filled="t" stroked="t" coordsize="21600,21600" o:gfxdata="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3sTSI9gAAAALAQAADwAAAAAAAAABACAAAAAiAAAAZHJzL2Rvd25yZXYueG1sUEsBAhQA&#10;FAAAAAgAh07iQEybXihkAgAAwwQAAA4AAAAAAAAAAQAgAAAAJwEAAGRycy9lMm9Eb2MueG1sUEsF&#10;BgAAAAAGAAYAWQEAAP0FAAAAAA==&#10;">
                <v:fill on="t" focussize="0,0"/>
                <v:stroke weight="0.5pt" color="#000000 [3204]" joinstyle="round"/>
                <v:imagedata o:title=""/>
                <o:lock v:ext="edit" aspectratio="f"/>
                <v:textbox>
                  <w:txbxContent>
                    <w:p w14:paraId="5E2F3E7B">
                      <w:pPr>
                        <w:jc w:val="center"/>
                      </w:pPr>
                      <w:r>
                        <w:rPr>
                          <w:rFonts w:hint="eastAsia"/>
                        </w:rPr>
                        <w:t>图例</w:t>
                      </w:r>
                    </w:p>
                    <w:p w14:paraId="481F4C26">
                      <w:r>
                        <w:rPr>
                          <w:rFonts w:hint="eastAsia"/>
                        </w:rPr>
                        <w:t>厂区位置</w:t>
                      </w:r>
                    </w:p>
                  </w:txbxContent>
                </v:textbox>
              </v:shape>
            </w:pict>
          </mc:Fallback>
        </mc:AlternateContent>
      </w:r>
      <w:r>
        <w:rPr>
          <w:rFonts w:eastAsia="宋体"/>
          <w:color w:val="000000" w:themeColor="text1"/>
          <w14:textFill>
            <w14:solidFill>
              <w14:schemeClr w14:val="tx1"/>
            </w14:solidFill>
          </w14:textFill>
        </w:rPr>
        <w:drawing>
          <wp:anchor distT="0" distB="0" distL="114300" distR="114300" simplePos="0" relativeHeight="251678720" behindDoc="0" locked="0" layoutInCell="1" allowOverlap="1">
            <wp:simplePos x="0" y="0"/>
            <wp:positionH relativeFrom="column">
              <wp:posOffset>9131935</wp:posOffset>
            </wp:positionH>
            <wp:positionV relativeFrom="paragraph">
              <wp:posOffset>1456690</wp:posOffset>
            </wp:positionV>
            <wp:extent cx="639445" cy="610235"/>
            <wp:effectExtent l="0" t="0" r="8255" b="18415"/>
            <wp:wrapNone/>
            <wp:docPr id="67" name="图片 2" descr="745611c229ca24e3cc8be814944b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descr="745611c229ca24e3cc8be814944b21a"/>
                    <pic:cNvPicPr>
                      <a:picLocks noChangeAspect="1"/>
                    </pic:cNvPicPr>
                  </pic:nvPicPr>
                  <pic:blipFill>
                    <a:blip r:embed="rId42"/>
                    <a:stretch>
                      <a:fillRect/>
                    </a:stretch>
                  </pic:blipFill>
                  <pic:spPr>
                    <a:xfrm>
                      <a:off x="0" y="0"/>
                      <a:ext cx="639445" cy="610235"/>
                    </a:xfrm>
                    <a:prstGeom prst="rect">
                      <a:avLst/>
                    </a:prstGeom>
                    <a:noFill/>
                    <a:ln>
                      <a:noFill/>
                    </a:ln>
                  </pic:spPr>
                </pic:pic>
              </a:graphicData>
            </a:graphic>
          </wp:anchor>
        </w:drawing>
      </w:r>
      <w:r>
        <w:rPr>
          <w:rFonts w:eastAsia="宋体"/>
          <w:color w:val="000000" w:themeColor="text1"/>
          <w14:textFill>
            <w14:solidFill>
              <w14:schemeClr w14:val="tx1"/>
            </w14:solidFill>
          </w14:textFill>
        </w:rPr>
        <w:drawing>
          <wp:anchor distT="0" distB="0" distL="114300" distR="114300" simplePos="0" relativeHeight="251679744" behindDoc="0" locked="0" layoutInCell="1" allowOverlap="1">
            <wp:simplePos x="0" y="0"/>
            <wp:positionH relativeFrom="column">
              <wp:posOffset>9284335</wp:posOffset>
            </wp:positionH>
            <wp:positionV relativeFrom="paragraph">
              <wp:posOffset>1609090</wp:posOffset>
            </wp:positionV>
            <wp:extent cx="639445" cy="610235"/>
            <wp:effectExtent l="0" t="0" r="8255" b="18415"/>
            <wp:wrapNone/>
            <wp:docPr id="68" name="图片 2" descr="745611c229ca24e3cc8be814944b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 descr="745611c229ca24e3cc8be814944b21a"/>
                    <pic:cNvPicPr>
                      <a:picLocks noChangeAspect="1"/>
                    </pic:cNvPicPr>
                  </pic:nvPicPr>
                  <pic:blipFill>
                    <a:blip r:embed="rId42"/>
                    <a:stretch>
                      <a:fillRect/>
                    </a:stretch>
                  </pic:blipFill>
                  <pic:spPr>
                    <a:xfrm>
                      <a:off x="0" y="0"/>
                      <a:ext cx="639445" cy="610235"/>
                    </a:xfrm>
                    <a:prstGeom prst="rect">
                      <a:avLst/>
                    </a:prstGeom>
                    <a:noFill/>
                    <a:ln>
                      <a:noFill/>
                    </a:ln>
                  </pic:spPr>
                </pic:pic>
              </a:graphicData>
            </a:graphic>
          </wp:anchor>
        </w:drawing>
      </w:r>
      <w:r>
        <w:rPr>
          <w:rFonts w:eastAsia="宋体"/>
          <w:color w:val="000000" w:themeColor="text1"/>
          <w14:textFill>
            <w14:solidFill>
              <w14:schemeClr w14:val="tx1"/>
            </w14:solidFill>
          </w14:textFill>
        </w:rPr>
        <w:drawing>
          <wp:inline distT="0" distB="0" distL="114300" distR="114300">
            <wp:extent cx="5726430" cy="3524885"/>
            <wp:effectExtent l="0" t="0" r="7620" b="18415"/>
            <wp:docPr id="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pic:cNvPicPr>
                      <a:picLocks noChangeAspect="1"/>
                    </pic:cNvPicPr>
                  </pic:nvPicPr>
                  <pic:blipFill>
                    <a:blip r:embed="rId43"/>
                    <a:stretch>
                      <a:fillRect/>
                    </a:stretch>
                  </pic:blipFill>
                  <pic:spPr>
                    <a:xfrm>
                      <a:off x="0" y="0"/>
                      <a:ext cx="5726430" cy="3524885"/>
                    </a:xfrm>
                    <a:prstGeom prst="rect">
                      <a:avLst/>
                    </a:prstGeom>
                    <a:noFill/>
                    <a:ln>
                      <a:noFill/>
                    </a:ln>
                  </pic:spPr>
                </pic:pic>
              </a:graphicData>
            </a:graphic>
          </wp:inline>
        </w:drawing>
      </w:r>
      <w:r>
        <w:rPr>
          <w:rFonts w:eastAsia="宋体"/>
          <w:snapToGrid w:val="0"/>
          <w:color w:val="000000" w:themeColor="text1"/>
          <w:sz w:val="32"/>
          <w:szCs w:val="32"/>
          <w14:textFill>
            <w14:solidFill>
              <w14:schemeClr w14:val="tx1"/>
            </w14:solidFill>
          </w14:textFill>
        </w:rPr>
        <w:br w:type="page"/>
      </w:r>
    </w:p>
    <w:p w14:paraId="67E4C093">
      <w:pPr>
        <w:pStyle w:val="28"/>
        <w:adjustRightInd w:val="0"/>
        <w:snapToGrid w:val="0"/>
        <w:spacing w:before="0" w:beforeAutospacing="0" w:after="0" w:afterAutospacing="0" w:line="500" w:lineRule="exact"/>
        <w:outlineLvl w:val="0"/>
        <w:rPr>
          <w:rFonts w:ascii="Times New Roman" w:hAnsi="Times New Roman" w:eastAsia="宋体"/>
          <w:snapToGrid w:val="0"/>
          <w:color w:val="000000" w:themeColor="text1"/>
          <w:sz w:val="28"/>
          <w:szCs w:val="28"/>
          <w14:textFill>
            <w14:solidFill>
              <w14:schemeClr w14:val="tx1"/>
            </w14:solidFill>
          </w14:textFill>
        </w:rPr>
      </w:pPr>
      <w:bookmarkStart w:id="57" w:name="_Toc15533"/>
      <w:r>
        <w:rPr>
          <w:rFonts w:ascii="Times New Roman" w:hAnsi="Times New Roman" w:eastAsia="宋体"/>
          <w:b/>
          <w:bCs/>
          <w:snapToGrid w:val="0"/>
          <w:color w:val="000000" w:themeColor="text1"/>
          <w:szCs w:val="24"/>
          <w14:textFill>
            <w14:solidFill>
              <w14:schemeClr w14:val="tx1"/>
            </w14:solidFill>
          </w14:textFill>
        </w:rPr>
        <w:t>附图2平面布置图</w:t>
      </w:r>
      <w:bookmarkEnd w:id="57"/>
    </w:p>
    <w:p w14:paraId="0B351324">
      <w:pPr>
        <w:pStyle w:val="78"/>
        <w:ind w:firstLine="0" w:firstLineChars="0"/>
        <w:jc w:val="center"/>
        <w:rPr>
          <w:rStyle w:val="86"/>
          <w:rFonts w:hint="default" w:ascii="Times New Roman" w:hAnsi="Times New Roman"/>
          <w:color w:val="000000" w:themeColor="text1"/>
          <w:sz w:val="32"/>
          <w:szCs w:val="32"/>
          <w14:textFill>
            <w14:solidFill>
              <w14:schemeClr w14:val="tx1"/>
            </w14:solidFill>
          </w14:textFill>
        </w:rPr>
      </w:pPr>
      <w:r>
        <w:rPr>
          <w:rFonts w:eastAsia="宋体"/>
          <w:color w:val="000000" w:themeColor="text1"/>
          <w14:textFill>
            <w14:solidFill>
              <w14:schemeClr w14:val="tx1"/>
            </w14:solidFill>
          </w14:textFill>
        </w:rPr>
        <w:drawing>
          <wp:anchor distT="0" distB="0" distL="114300" distR="114300" simplePos="0" relativeHeight="251686912" behindDoc="0" locked="0" layoutInCell="1" allowOverlap="1">
            <wp:simplePos x="0" y="0"/>
            <wp:positionH relativeFrom="column">
              <wp:posOffset>5123815</wp:posOffset>
            </wp:positionH>
            <wp:positionV relativeFrom="paragraph">
              <wp:posOffset>74930</wp:posOffset>
            </wp:positionV>
            <wp:extent cx="639445" cy="610235"/>
            <wp:effectExtent l="0" t="0" r="8255" b="18415"/>
            <wp:wrapNone/>
            <wp:docPr id="9" name="图片 2" descr="745611c229ca24e3cc8be814944b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745611c229ca24e3cc8be814944b21a"/>
                    <pic:cNvPicPr>
                      <a:picLocks noChangeAspect="1"/>
                    </pic:cNvPicPr>
                  </pic:nvPicPr>
                  <pic:blipFill>
                    <a:blip r:embed="rId42"/>
                    <a:stretch>
                      <a:fillRect/>
                    </a:stretch>
                  </pic:blipFill>
                  <pic:spPr>
                    <a:xfrm>
                      <a:off x="0" y="0"/>
                      <a:ext cx="639445" cy="610235"/>
                    </a:xfrm>
                    <a:prstGeom prst="rect">
                      <a:avLst/>
                    </a:prstGeom>
                    <a:noFill/>
                    <a:ln>
                      <a:noFill/>
                    </a:ln>
                  </pic:spPr>
                </pic:pic>
              </a:graphicData>
            </a:graphic>
          </wp:anchor>
        </w:drawing>
      </w:r>
      <w:r>
        <w:rPr>
          <w:rFonts w:eastAsia="宋体"/>
          <w:color w:val="000000" w:themeColor="text1"/>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5191760</wp:posOffset>
                </wp:positionH>
                <wp:positionV relativeFrom="paragraph">
                  <wp:posOffset>6125845</wp:posOffset>
                </wp:positionV>
                <wp:extent cx="311785" cy="0"/>
                <wp:effectExtent l="0" t="12700" r="12065" b="15875"/>
                <wp:wrapNone/>
                <wp:docPr id="58" name="直接连接符 58"/>
                <wp:cNvGraphicFramePr/>
                <a:graphic xmlns:a="http://schemas.openxmlformats.org/drawingml/2006/main">
                  <a:graphicData uri="http://schemas.microsoft.com/office/word/2010/wordprocessingShape">
                    <wps:wsp>
                      <wps:cNvCnPr/>
                      <wps:spPr>
                        <a:xfrm>
                          <a:off x="6097905" y="7932420"/>
                          <a:ext cx="31178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8.8pt;margin-top:482.35pt;height:0pt;width:24.55pt;z-index:251675648;mso-width-relative:page;mso-height-relative:page;" filled="f" stroked="t" coordsize="21600,21600" o:gfxdata="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R34GXX&#10;AAAACwEAAA8AAAAAAAAAAQAgAAAAIgAAAGRycy9kb3ducmV2LnhtbFBLAQIUABQAAAAIAIdO4kCF&#10;xrGQ6AEAAKgDAAAOAAAAAAAAAAEAIAAAACYBAABkcnMvZTJvRG9jLnhtbFBLBQYAAAAABgAGAFkB&#10;AACABQAAAAA=&#10;">
                <v:fill on="f" focussize="0,0"/>
                <v:stroke weight="2pt" color="#000000 [3213]" joinstyle="round"/>
                <v:imagedata o:title=""/>
                <o:lock v:ext="edit" aspectratio="f"/>
              </v:line>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5175250</wp:posOffset>
                </wp:positionH>
                <wp:positionV relativeFrom="paragraph">
                  <wp:posOffset>5805805</wp:posOffset>
                </wp:positionV>
                <wp:extent cx="328295" cy="168910"/>
                <wp:effectExtent l="12700" t="12700" r="20955" b="27940"/>
                <wp:wrapNone/>
                <wp:docPr id="57" name="矩形 57"/>
                <wp:cNvGraphicFramePr/>
                <a:graphic xmlns:a="http://schemas.openxmlformats.org/drawingml/2006/main">
                  <a:graphicData uri="http://schemas.microsoft.com/office/word/2010/wordprocessingShape">
                    <wps:wsp>
                      <wps:cNvSpPr/>
                      <wps:spPr>
                        <a:xfrm>
                          <a:off x="6089650" y="7662545"/>
                          <a:ext cx="328295" cy="16891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7.5pt;margin-top:457.15pt;height:13.3pt;width:25.85pt;z-index:251674624;v-text-anchor:middle;mso-width-relative:page;mso-height-relative:page;" filled="f" stroked="t" coordsize="21600,21600" o:gfxdata="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LM5PD7bAAAACwEAAA8AAAAAAAAAAQAgAAAAIgAAAGRycy9kb3ducmV2&#10;LnhtbFBLAQIUABQAAAAIAIdO4kCxyEAmawIAAMEEAAAOAAAAAAAAAAEAIAAAACoBAABkcnMvZTJv&#10;RG9jLnhtbFBLBQYAAAAABgAGAFkBAAAHBgAAAAA=&#10;">
                <v:fill on="f" focussize="0,0"/>
                <v:stroke weight="2pt" color="#000000 [3213]" joinstyle="round"/>
                <v:imagedata o:title=""/>
                <o:lock v:ext="edit" aspectratio="f"/>
              </v:rect>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4222750</wp:posOffset>
                </wp:positionH>
                <wp:positionV relativeFrom="paragraph">
                  <wp:posOffset>5561330</wp:posOffset>
                </wp:positionV>
                <wp:extent cx="1416050" cy="868045"/>
                <wp:effectExtent l="4445" t="4445" r="8255" b="22860"/>
                <wp:wrapNone/>
                <wp:docPr id="56" name="文本框 56"/>
                <wp:cNvGraphicFramePr/>
                <a:graphic xmlns:a="http://schemas.openxmlformats.org/drawingml/2006/main">
                  <a:graphicData uri="http://schemas.microsoft.com/office/word/2010/wordprocessingShape">
                    <wps:wsp>
                      <wps:cNvSpPr txBox="1"/>
                      <wps:spPr>
                        <a:xfrm>
                          <a:off x="5137150" y="7418070"/>
                          <a:ext cx="1416050" cy="8680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043048">
                            <w:pPr>
                              <w:jc w:val="center"/>
                            </w:pPr>
                            <w:r>
                              <w:rPr>
                                <w:rFonts w:hint="eastAsia"/>
                              </w:rPr>
                              <w:t>图例</w:t>
                            </w:r>
                          </w:p>
                          <w:p w14:paraId="65AB19BE">
                            <w:r>
                              <w:rPr>
                                <w:rFonts w:hint="eastAsia"/>
                              </w:rPr>
                              <w:t>厂区范围</w:t>
                            </w:r>
                          </w:p>
                          <w:p w14:paraId="30896B08">
                            <w:r>
                              <w:rPr>
                                <w:rFonts w:hint="eastAsia"/>
                              </w:rPr>
                              <w:t>10m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5pt;margin-top:437.9pt;height:68.35pt;width:111.5pt;z-index:251673600;mso-width-relative:page;mso-height-relative:page;" fillcolor="#FFFFFF [3201]" filled="t" stroked="t" coordsize="21600,21600" o:gfxdata="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OI01/YAAAADAEAAA8AAAAAAAAAAQAgAAAAIgAAAGRycy9kb3ducmV2LnhtbFBLAQIUABQA&#10;AAAIAIdO4kA2hkeIYgIAAMUEAAAOAAAAAAAAAAEAIAAAACcBAABkcnMvZTJvRG9jLnhtbFBLBQYA&#10;AAAABgAGAFkBAAD7BQAAAAA=&#10;">
                <v:fill on="t" focussize="0,0"/>
                <v:stroke weight="0.5pt" color="#000000 [3204]" joinstyle="round"/>
                <v:imagedata o:title=""/>
                <o:lock v:ext="edit" aspectratio="f"/>
                <v:textbox>
                  <w:txbxContent>
                    <w:p w14:paraId="74043048">
                      <w:pPr>
                        <w:jc w:val="center"/>
                      </w:pPr>
                      <w:r>
                        <w:rPr>
                          <w:rFonts w:hint="eastAsia"/>
                        </w:rPr>
                        <w:t>图例</w:t>
                      </w:r>
                    </w:p>
                    <w:p w14:paraId="65AB19BE">
                      <w:r>
                        <w:rPr>
                          <w:rFonts w:hint="eastAsia"/>
                        </w:rPr>
                        <w:t>厂区范围</w:t>
                      </w:r>
                    </w:p>
                    <w:p w14:paraId="30896B08">
                      <w:r>
                        <w:rPr>
                          <w:rFonts w:hint="eastAsia"/>
                        </w:rPr>
                        <w:t>10m</w:t>
                      </w:r>
                    </w:p>
                  </w:txbxContent>
                </v:textbox>
              </v:shape>
            </w:pict>
          </mc:Fallback>
        </mc:AlternateContent>
      </w:r>
      <w:r>
        <w:rPr>
          <w:rFonts w:eastAsia="宋体"/>
          <w:color w:val="000000" w:themeColor="text1"/>
          <w14:textFill>
            <w14:solidFill>
              <w14:schemeClr w14:val="tx1"/>
            </w14:solidFill>
          </w14:textFill>
        </w:rPr>
        <w:drawing>
          <wp:inline distT="0" distB="0" distL="114300" distR="114300">
            <wp:extent cx="5730875" cy="6411595"/>
            <wp:effectExtent l="0" t="0" r="3175" b="8255"/>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
                    <pic:cNvPicPr>
                      <a:picLocks noChangeAspect="1"/>
                    </pic:cNvPicPr>
                  </pic:nvPicPr>
                  <pic:blipFill>
                    <a:blip r:embed="rId44"/>
                    <a:stretch>
                      <a:fillRect/>
                    </a:stretch>
                  </pic:blipFill>
                  <pic:spPr>
                    <a:xfrm>
                      <a:off x="0" y="0"/>
                      <a:ext cx="5730875" cy="6411595"/>
                    </a:xfrm>
                    <a:prstGeom prst="rect">
                      <a:avLst/>
                    </a:prstGeom>
                    <a:noFill/>
                    <a:ln>
                      <a:noFill/>
                    </a:ln>
                  </pic:spPr>
                </pic:pic>
              </a:graphicData>
            </a:graphic>
          </wp:inline>
        </w:drawing>
      </w:r>
      <w:r>
        <w:rPr>
          <w:rFonts w:eastAsia="宋体"/>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3999230</wp:posOffset>
                </wp:positionH>
                <wp:positionV relativeFrom="paragraph">
                  <wp:posOffset>1054735</wp:posOffset>
                </wp:positionV>
                <wp:extent cx="895350" cy="33274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895350" cy="3327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9FE27D">
                            <w:pPr>
                              <w:rPr>
                                <w:b/>
                                <w:bCs/>
                                <w:color w:val="FFFF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9pt;margin-top:83.05pt;height:26.2pt;width:70.5pt;z-index:251665408;mso-width-relative:page;mso-height-relative:page;" filled="f" stroked="f" coordsize="21600,21600" o:gfxdata="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G/KNHbAAAACwEAAA8AAAAAAAAAAQAgAAAAIgAAAGRy&#10;cy9kb3ducmV2LnhtbFBLAQIUABQAAAAIAIdO4kDU3s89OwIAAGcEAAAOAAAAAAAAAAEAIAAAACoB&#10;AABkcnMvZTJvRG9jLnhtbFBLBQYAAAAABgAGAFkBAADXBQAAAAA=&#10;">
                <v:fill on="f" focussize="0,0"/>
                <v:stroke on="f" weight="0.5pt"/>
                <v:imagedata o:title=""/>
                <o:lock v:ext="edit" aspectratio="f"/>
                <v:textbox>
                  <w:txbxContent>
                    <w:p w14:paraId="1C9FE27D">
                      <w:pPr>
                        <w:rPr>
                          <w:b/>
                          <w:bCs/>
                          <w:color w:val="FFFF00"/>
                        </w:rPr>
                      </w:pPr>
                    </w:p>
                  </w:txbxContent>
                </v:textbox>
              </v:shape>
            </w:pict>
          </mc:Fallback>
        </mc:AlternateContent>
      </w:r>
    </w:p>
    <w:p w14:paraId="27508B97">
      <w:pPr>
        <w:pStyle w:val="78"/>
        <w:ind w:firstLine="0" w:firstLineChars="0"/>
        <w:jc w:val="center"/>
        <w:rPr>
          <w:rStyle w:val="86"/>
          <w:rFonts w:hint="default" w:ascii="Times New Roman" w:hAnsi="Times New Roman"/>
          <w:color w:val="000000" w:themeColor="text1"/>
          <w:sz w:val="32"/>
          <w:szCs w:val="32"/>
          <w14:textFill>
            <w14:solidFill>
              <w14:schemeClr w14:val="tx1"/>
            </w14:solidFill>
          </w14:textFill>
        </w:rPr>
        <w:sectPr>
          <w:footerReference r:id="rId9" w:type="first"/>
          <w:footerReference r:id="rId8" w:type="default"/>
          <w:pgSz w:w="11906" w:h="16838"/>
          <w:pgMar w:top="1800" w:right="1440" w:bottom="1800" w:left="1440" w:header="851" w:footer="992" w:gutter="0"/>
          <w:cols w:space="720" w:num="1"/>
          <w:titlePg/>
          <w:docGrid w:type="lines" w:linePitch="312" w:charSpace="0"/>
        </w:sectPr>
      </w:pPr>
    </w:p>
    <w:p w14:paraId="5F48C0E8">
      <w:pPr>
        <w:pStyle w:val="78"/>
        <w:ind w:firstLine="0" w:firstLineChars="0"/>
        <w:jc w:val="center"/>
        <w:rPr>
          <w:rFonts w:eastAsia="宋体"/>
          <w:color w:val="000000" w:themeColor="text1"/>
          <w:sz w:val="32"/>
          <w:szCs w:val="32"/>
          <w14:textFill>
            <w14:solidFill>
              <w14:schemeClr w14:val="tx1"/>
            </w14:solidFill>
          </w14:textFill>
        </w:rPr>
      </w:pPr>
    </w:p>
    <w:p w14:paraId="4C001DBD">
      <w:pPr>
        <w:pStyle w:val="28"/>
        <w:adjustRightInd w:val="0"/>
        <w:snapToGrid w:val="0"/>
        <w:spacing w:before="0" w:beforeAutospacing="0" w:after="0" w:afterAutospacing="0"/>
        <w:outlineLvl w:val="0"/>
        <w:rPr>
          <w:rFonts w:ascii="Times New Roman" w:hAnsi="Times New Roman" w:eastAsia="宋体"/>
          <w:b/>
          <w:bCs/>
          <w:snapToGrid w:val="0"/>
          <w:color w:val="000000" w:themeColor="text1"/>
          <w:szCs w:val="24"/>
          <w14:textFill>
            <w14:solidFill>
              <w14:schemeClr w14:val="tx1"/>
            </w14:solidFill>
          </w14:textFill>
        </w:rPr>
      </w:pPr>
      <w:bookmarkStart w:id="58" w:name="_Toc30371"/>
      <w:bookmarkStart w:id="59" w:name="_Toc123223054"/>
      <w:r>
        <w:rPr>
          <w:rFonts w:ascii="Times New Roman" w:hAnsi="Times New Roman" w:eastAsia="宋体"/>
          <w:b/>
          <w:bCs/>
          <w:snapToGrid w:val="0"/>
          <w:color w:val="000000" w:themeColor="text1"/>
          <w:szCs w:val="24"/>
          <w14:textFill>
            <w14:solidFill>
              <w14:schemeClr w14:val="tx1"/>
            </w14:solidFill>
          </w14:textFill>
        </w:rPr>
        <w:t>附图3 厂界四周照片</w:t>
      </w:r>
      <w:bookmarkEnd w:id="58"/>
      <w:bookmarkEnd w:id="59"/>
    </w:p>
    <w:p w14:paraId="02AD50BB">
      <w:pPr>
        <w:rPr>
          <w:rFonts w:eastAsia="宋体"/>
          <w:color w:val="000000" w:themeColor="text1"/>
          <w14:textFill>
            <w14:solidFill>
              <w14:schemeClr w14:val="tx1"/>
            </w14:solidFill>
          </w14:textFill>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181D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2EA39AA4">
            <w:pPr>
              <w:jc w:val="center"/>
              <w:rPr>
                <w:rFonts w:eastAsia="宋体"/>
                <w:b/>
                <w:bCs/>
                <w:snapToGrid w:val="0"/>
                <w:color w:val="000000" w:themeColor="text1"/>
                <w:sz w:val="32"/>
                <w:szCs w:val="32"/>
                <w14:textFill>
                  <w14:solidFill>
                    <w14:schemeClr w14:val="tx1"/>
                  </w14:solidFill>
                </w14:textFill>
              </w:rPr>
            </w:pPr>
            <w:bookmarkStart w:id="60" w:name="_Toc123223055"/>
            <w:r>
              <w:rPr>
                <w:rFonts w:eastAsia="宋体"/>
                <w:b/>
                <w:bCs/>
                <w:snapToGrid w:val="0"/>
                <w:color w:val="000000" w:themeColor="text1"/>
                <w:sz w:val="32"/>
                <w:szCs w:val="32"/>
                <w14:textFill>
                  <w14:solidFill>
                    <w14:schemeClr w14:val="tx1"/>
                  </w14:solidFill>
                </w14:textFill>
              </w:rPr>
              <w:drawing>
                <wp:inline distT="0" distB="0" distL="114300" distR="114300">
                  <wp:extent cx="2298700" cy="2273935"/>
                  <wp:effectExtent l="0" t="0" r="6350" b="12065"/>
                  <wp:docPr id="43" name="图片 43" descr="0aade64e47717dde6e13b102e2123c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0aade64e47717dde6e13b102e2123c77"/>
                          <pic:cNvPicPr>
                            <a:picLocks noChangeAspect="1"/>
                          </pic:cNvPicPr>
                        </pic:nvPicPr>
                        <pic:blipFill>
                          <a:blip r:embed="rId45"/>
                          <a:srcRect t="25230" b="30622"/>
                          <a:stretch>
                            <a:fillRect/>
                          </a:stretch>
                        </pic:blipFill>
                        <pic:spPr>
                          <a:xfrm>
                            <a:off x="0" y="0"/>
                            <a:ext cx="2298700" cy="2273935"/>
                          </a:xfrm>
                          <a:prstGeom prst="rect">
                            <a:avLst/>
                          </a:prstGeom>
                        </pic:spPr>
                      </pic:pic>
                    </a:graphicData>
                  </a:graphic>
                </wp:inline>
              </w:drawing>
            </w:r>
          </w:p>
        </w:tc>
        <w:tc>
          <w:tcPr>
            <w:tcW w:w="4264" w:type="dxa"/>
          </w:tcPr>
          <w:p w14:paraId="77C67D74">
            <w:pPr>
              <w:jc w:val="center"/>
              <w:rPr>
                <w:rFonts w:eastAsia="宋体"/>
                <w:b/>
                <w:bCs/>
                <w:snapToGrid w:val="0"/>
                <w:color w:val="000000" w:themeColor="text1"/>
                <w:sz w:val="32"/>
                <w:szCs w:val="32"/>
                <w14:textFill>
                  <w14:solidFill>
                    <w14:schemeClr w14:val="tx1"/>
                  </w14:solidFill>
                </w14:textFill>
              </w:rPr>
            </w:pPr>
            <w:r>
              <w:rPr>
                <w:rFonts w:eastAsia="宋体"/>
                <w:color w:val="000000" w:themeColor="text1"/>
                <w14:textFill>
                  <w14:solidFill>
                    <w14:schemeClr w14:val="tx1"/>
                  </w14:solidFill>
                </w14:textFill>
              </w:rPr>
              <w:drawing>
                <wp:inline distT="0" distB="0" distL="114300" distR="114300">
                  <wp:extent cx="2245995" cy="2244725"/>
                  <wp:effectExtent l="0" t="0" r="0" b="0"/>
                  <wp:docPr id="4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3"/>
                          <pic:cNvPicPr>
                            <a:picLocks noChangeAspect="1"/>
                          </pic:cNvPicPr>
                        </pic:nvPicPr>
                        <pic:blipFill>
                          <a:blip r:embed="rId46"/>
                          <a:srcRect t="22451" b="15414"/>
                          <a:stretch>
                            <a:fillRect/>
                          </a:stretch>
                        </pic:blipFill>
                        <pic:spPr>
                          <a:xfrm>
                            <a:off x="0" y="0"/>
                            <a:ext cx="2245995" cy="2244725"/>
                          </a:xfrm>
                          <a:prstGeom prst="rect">
                            <a:avLst/>
                          </a:prstGeom>
                          <a:noFill/>
                          <a:ln>
                            <a:noFill/>
                          </a:ln>
                        </pic:spPr>
                      </pic:pic>
                    </a:graphicData>
                  </a:graphic>
                </wp:inline>
              </w:drawing>
            </w:r>
          </w:p>
        </w:tc>
      </w:tr>
      <w:tr w14:paraId="3178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578A3247">
            <w:pPr>
              <w:jc w:val="center"/>
              <w:rPr>
                <w:rFonts w:eastAsia="宋体"/>
                <w:b/>
                <w:bCs/>
                <w:snapToGrid w:val="0"/>
                <w:color w:val="000000" w:themeColor="text1"/>
                <w:sz w:val="32"/>
                <w:szCs w:val="32"/>
                <w14:textFill>
                  <w14:solidFill>
                    <w14:schemeClr w14:val="tx1"/>
                  </w14:solidFill>
                </w14:textFill>
              </w:rPr>
            </w:pPr>
            <w:r>
              <w:rPr>
                <w:rFonts w:eastAsia="宋体"/>
                <w:b/>
                <w:bCs/>
                <w:snapToGrid w:val="0"/>
                <w:color w:val="000000" w:themeColor="text1"/>
                <w:sz w:val="24"/>
                <w14:textFill>
                  <w14:solidFill>
                    <w14:schemeClr w14:val="tx1"/>
                  </w14:solidFill>
                </w14:textFill>
              </w:rPr>
              <w:t>项目北侧</w:t>
            </w:r>
          </w:p>
        </w:tc>
        <w:tc>
          <w:tcPr>
            <w:tcW w:w="4264" w:type="dxa"/>
          </w:tcPr>
          <w:p w14:paraId="0149409C">
            <w:pPr>
              <w:jc w:val="center"/>
              <w:rPr>
                <w:rFonts w:eastAsia="宋体"/>
                <w:b/>
                <w:bCs/>
                <w:snapToGrid w:val="0"/>
                <w:color w:val="000000" w:themeColor="text1"/>
                <w:sz w:val="32"/>
                <w:szCs w:val="32"/>
                <w14:textFill>
                  <w14:solidFill>
                    <w14:schemeClr w14:val="tx1"/>
                  </w14:solidFill>
                </w14:textFill>
              </w:rPr>
            </w:pPr>
            <w:r>
              <w:rPr>
                <w:rFonts w:eastAsia="宋体"/>
                <w:b/>
                <w:bCs/>
                <w:snapToGrid w:val="0"/>
                <w:color w:val="000000" w:themeColor="text1"/>
                <w:sz w:val="24"/>
                <w14:textFill>
                  <w14:solidFill>
                    <w14:schemeClr w14:val="tx1"/>
                  </w14:solidFill>
                </w14:textFill>
              </w:rPr>
              <w:t>项目南侧</w:t>
            </w:r>
          </w:p>
        </w:tc>
      </w:tr>
      <w:tr w14:paraId="62C8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2AEF8E58">
            <w:pPr>
              <w:jc w:val="center"/>
              <w:rPr>
                <w:rFonts w:eastAsia="宋体"/>
                <w:b/>
                <w:bCs/>
                <w:snapToGrid w:val="0"/>
                <w:color w:val="000000" w:themeColor="text1"/>
                <w:sz w:val="32"/>
                <w:szCs w:val="32"/>
                <w14:textFill>
                  <w14:solidFill>
                    <w14:schemeClr w14:val="tx1"/>
                  </w14:solidFill>
                </w14:textFill>
              </w:rPr>
            </w:pPr>
            <w:r>
              <w:rPr>
                <w:rFonts w:eastAsia="宋体"/>
                <w:color w:val="000000" w:themeColor="text1"/>
                <w14:textFill>
                  <w14:solidFill>
                    <w14:schemeClr w14:val="tx1"/>
                  </w14:solidFill>
                </w14:textFill>
              </w:rPr>
              <w:drawing>
                <wp:inline distT="0" distB="0" distL="114300" distR="114300">
                  <wp:extent cx="2403475" cy="2086610"/>
                  <wp:effectExtent l="0" t="0" r="15875" b="8890"/>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47"/>
                          <a:srcRect l="19949" r="8965"/>
                          <a:stretch>
                            <a:fillRect/>
                          </a:stretch>
                        </pic:blipFill>
                        <pic:spPr>
                          <a:xfrm>
                            <a:off x="0" y="0"/>
                            <a:ext cx="2403475" cy="2086610"/>
                          </a:xfrm>
                          <a:prstGeom prst="rect">
                            <a:avLst/>
                          </a:prstGeom>
                          <a:noFill/>
                          <a:ln>
                            <a:noFill/>
                          </a:ln>
                        </pic:spPr>
                      </pic:pic>
                    </a:graphicData>
                  </a:graphic>
                </wp:inline>
              </w:drawing>
            </w:r>
          </w:p>
        </w:tc>
        <w:tc>
          <w:tcPr>
            <w:tcW w:w="4264" w:type="dxa"/>
          </w:tcPr>
          <w:p w14:paraId="305D836B">
            <w:pPr>
              <w:jc w:val="center"/>
              <w:rPr>
                <w:rFonts w:eastAsia="宋体"/>
                <w:snapToGrid w:val="0"/>
                <w:color w:val="000000" w:themeColor="text1"/>
                <w:sz w:val="32"/>
                <w:szCs w:val="32"/>
                <w14:textFill>
                  <w14:solidFill>
                    <w14:schemeClr w14:val="tx1"/>
                  </w14:solidFill>
                </w14:textFill>
              </w:rPr>
            </w:pPr>
            <w:r>
              <w:rPr>
                <w:rFonts w:eastAsia="宋体"/>
                <w:snapToGrid w:val="0"/>
                <w:color w:val="000000" w:themeColor="text1"/>
                <w:sz w:val="32"/>
                <w:szCs w:val="32"/>
                <w14:textFill>
                  <w14:solidFill>
                    <w14:schemeClr w14:val="tx1"/>
                  </w14:solidFill>
                </w14:textFill>
              </w:rPr>
              <w:drawing>
                <wp:inline distT="0" distB="0" distL="114300" distR="114300">
                  <wp:extent cx="2350770" cy="2190115"/>
                  <wp:effectExtent l="0" t="0" r="11430" b="635"/>
                  <wp:docPr id="39" name="图片 39" descr="7d66b9fa2131f610cf0cf468367d6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7d66b9fa2131f610cf0cf468367d6765"/>
                          <pic:cNvPicPr>
                            <a:picLocks noChangeAspect="1"/>
                          </pic:cNvPicPr>
                        </pic:nvPicPr>
                        <pic:blipFill>
                          <a:blip r:embed="rId48"/>
                          <a:srcRect t="30233" b="28198"/>
                          <a:stretch>
                            <a:fillRect/>
                          </a:stretch>
                        </pic:blipFill>
                        <pic:spPr>
                          <a:xfrm>
                            <a:off x="0" y="0"/>
                            <a:ext cx="2350770" cy="2190115"/>
                          </a:xfrm>
                          <a:prstGeom prst="rect">
                            <a:avLst/>
                          </a:prstGeom>
                        </pic:spPr>
                      </pic:pic>
                    </a:graphicData>
                  </a:graphic>
                </wp:inline>
              </w:drawing>
            </w:r>
          </w:p>
        </w:tc>
      </w:tr>
      <w:tr w14:paraId="1CAD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7BD0FE17">
            <w:pPr>
              <w:jc w:val="center"/>
              <w:rPr>
                <w:rFonts w:eastAsia="宋体"/>
                <w:b/>
                <w:bCs/>
                <w:snapToGrid w:val="0"/>
                <w:color w:val="000000" w:themeColor="text1"/>
                <w:sz w:val="24"/>
                <w14:textFill>
                  <w14:solidFill>
                    <w14:schemeClr w14:val="tx1"/>
                  </w14:solidFill>
                </w14:textFill>
              </w:rPr>
            </w:pPr>
            <w:r>
              <w:rPr>
                <w:rFonts w:eastAsia="宋体"/>
                <w:b/>
                <w:bCs/>
                <w:snapToGrid w:val="0"/>
                <w:color w:val="000000" w:themeColor="text1"/>
                <w:sz w:val="24"/>
                <w14:textFill>
                  <w14:solidFill>
                    <w14:schemeClr w14:val="tx1"/>
                  </w14:solidFill>
                </w14:textFill>
              </w:rPr>
              <w:t>项目西侧</w:t>
            </w:r>
          </w:p>
        </w:tc>
        <w:tc>
          <w:tcPr>
            <w:tcW w:w="4264" w:type="dxa"/>
          </w:tcPr>
          <w:p w14:paraId="5939F9F9">
            <w:pPr>
              <w:jc w:val="center"/>
              <w:rPr>
                <w:rFonts w:eastAsia="宋体"/>
                <w:b/>
                <w:bCs/>
                <w:snapToGrid w:val="0"/>
                <w:color w:val="000000" w:themeColor="text1"/>
                <w:sz w:val="32"/>
                <w:szCs w:val="32"/>
                <w14:textFill>
                  <w14:solidFill>
                    <w14:schemeClr w14:val="tx1"/>
                  </w14:solidFill>
                </w14:textFill>
              </w:rPr>
            </w:pPr>
            <w:r>
              <w:rPr>
                <w:rFonts w:eastAsia="宋体"/>
                <w:b/>
                <w:bCs/>
                <w:snapToGrid w:val="0"/>
                <w:color w:val="000000" w:themeColor="text1"/>
                <w:sz w:val="24"/>
                <w14:textFill>
                  <w14:solidFill>
                    <w14:schemeClr w14:val="tx1"/>
                  </w14:solidFill>
                </w14:textFill>
              </w:rPr>
              <w:t>项目东侧</w:t>
            </w:r>
          </w:p>
        </w:tc>
      </w:tr>
    </w:tbl>
    <w:p w14:paraId="1CF01838">
      <w:pPr>
        <w:rPr>
          <w:rFonts w:eastAsia="宋体"/>
          <w:b/>
          <w:bCs/>
          <w:snapToGrid w:val="0"/>
          <w:color w:val="000000" w:themeColor="text1"/>
          <w:sz w:val="32"/>
          <w:szCs w:val="32"/>
          <w14:textFill>
            <w14:solidFill>
              <w14:schemeClr w14:val="tx1"/>
            </w14:solidFill>
          </w14:textFill>
        </w:rPr>
        <w:sectPr>
          <w:footerReference r:id="rId10" w:type="default"/>
          <w:pgSz w:w="11906" w:h="16838"/>
          <w:pgMar w:top="1440" w:right="1797" w:bottom="1440" w:left="1797" w:header="851" w:footer="992" w:gutter="0"/>
          <w:cols w:space="720" w:num="1"/>
          <w:docGrid w:linePitch="312" w:charSpace="0"/>
        </w:sectPr>
      </w:pPr>
      <w:r>
        <w:rPr>
          <w:rFonts w:eastAsia="宋体"/>
          <w:b/>
          <w:bCs/>
          <w:snapToGrid w:val="0"/>
          <w:color w:val="000000" w:themeColor="text1"/>
          <w:sz w:val="32"/>
          <w:szCs w:val="32"/>
          <w14:textFill>
            <w14:solidFill>
              <w14:schemeClr w14:val="tx1"/>
            </w14:solidFill>
          </w14:textFill>
        </w:rPr>
        <w:br w:type="page"/>
      </w:r>
    </w:p>
    <w:bookmarkEnd w:id="60"/>
    <w:p w14:paraId="3B7776F9">
      <w:pPr>
        <w:outlineLvl w:val="0"/>
        <w:rPr>
          <w:rFonts w:eastAsia="宋体"/>
          <w:b/>
          <w:bCs/>
          <w:snapToGrid w:val="0"/>
          <w:color w:val="000000" w:themeColor="text1"/>
          <w:sz w:val="24"/>
          <w14:textFill>
            <w14:solidFill>
              <w14:schemeClr w14:val="tx1"/>
            </w14:solidFill>
          </w14:textFill>
        </w:rPr>
      </w:pPr>
      <w:bookmarkStart w:id="61" w:name="_Toc1692"/>
      <w:r>
        <w:rPr>
          <w:rFonts w:eastAsia="宋体"/>
          <w:b/>
          <w:bCs/>
          <w:snapToGrid w:val="0"/>
          <w:color w:val="000000" w:themeColor="text1"/>
          <w:sz w:val="24"/>
          <w14:textFill>
            <w14:solidFill>
              <w14:schemeClr w14:val="tx1"/>
            </w14:solidFill>
          </w14:textFill>
        </w:rPr>
        <w:t>附图4 大气环境保护目标</w:t>
      </w:r>
      <w:bookmarkEnd w:id="61"/>
    </w:p>
    <w:p w14:paraId="7C42B6A6">
      <w:pPr>
        <w:rPr>
          <w:rFonts w:eastAsia="宋体"/>
          <w:b/>
          <w:bCs/>
          <w:snapToGrid w:val="0"/>
          <w:color w:val="000000" w:themeColor="text1"/>
          <w:sz w:val="24"/>
          <w14:textFill>
            <w14:solidFill>
              <w14:schemeClr w14:val="tx1"/>
            </w14:solidFill>
          </w14:textFill>
        </w:rPr>
      </w:pPr>
    </w:p>
    <w:p w14:paraId="1615E3A2">
      <w:pPr>
        <w:tabs>
          <w:tab w:val="left" w:pos="11645"/>
        </w:tabs>
        <w:rPr>
          <w:rFonts w:hint="eastAsia"/>
          <w:color w:val="000000" w:themeColor="text1"/>
          <w:lang w:eastAsia="zh-CN"/>
          <w14:textFill>
            <w14:solidFill>
              <w14:schemeClr w14:val="tx1"/>
            </w14:solidFill>
          </w14:textFill>
        </w:rPr>
        <w:sectPr>
          <w:pgSz w:w="16838" w:h="11906" w:orient="landscape"/>
          <w:pgMar w:top="1797" w:right="1440" w:bottom="1797" w:left="1440" w:header="851" w:footer="992" w:gutter="0"/>
          <w:cols w:space="720" w:num="1"/>
          <w:docGrid w:linePitch="312" w:charSpace="0"/>
        </w:sectPr>
      </w:pPr>
      <w:r>
        <w:rPr>
          <w:color w:val="000000" w:themeColor="text1"/>
          <w14:textFill>
            <w14:solidFill>
              <w14:schemeClr w14:val="tx1"/>
            </w14:solidFill>
          </w14:textFill>
        </w:rPr>
        <w:drawing>
          <wp:inline distT="0" distB="0" distL="114300" distR="114300">
            <wp:extent cx="6871970" cy="4706620"/>
            <wp:effectExtent l="0" t="0" r="5080" b="17780"/>
            <wp:docPr id="6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4"/>
                    <pic:cNvPicPr>
                      <a:picLocks noChangeAspect="1"/>
                    </pic:cNvPicPr>
                  </pic:nvPicPr>
                  <pic:blipFill>
                    <a:blip r:embed="rId49"/>
                    <a:stretch>
                      <a:fillRect/>
                    </a:stretch>
                  </pic:blipFill>
                  <pic:spPr>
                    <a:xfrm>
                      <a:off x="0" y="0"/>
                      <a:ext cx="6871970" cy="4706620"/>
                    </a:xfrm>
                    <a:prstGeom prst="rect">
                      <a:avLst/>
                    </a:prstGeom>
                    <a:noFill/>
                    <a:ln>
                      <a:noFill/>
                    </a:ln>
                  </pic:spPr>
                </pic:pic>
              </a:graphicData>
            </a:graphic>
          </wp:inline>
        </w:drawing>
      </w:r>
      <w:r>
        <w:rPr>
          <w:rFonts w:eastAsia="宋体"/>
          <w:color w:val="000000" w:themeColor="text1"/>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5257800</wp:posOffset>
                </wp:positionH>
                <wp:positionV relativeFrom="paragraph">
                  <wp:posOffset>3639185</wp:posOffset>
                </wp:positionV>
                <wp:extent cx="1590040" cy="1213485"/>
                <wp:effectExtent l="0" t="0" r="10160" b="5715"/>
                <wp:wrapNone/>
                <wp:docPr id="70" name="文本框 70"/>
                <wp:cNvGraphicFramePr/>
                <a:graphic xmlns:a="http://schemas.openxmlformats.org/drawingml/2006/main">
                  <a:graphicData uri="http://schemas.microsoft.com/office/word/2010/wordprocessingShape">
                    <wps:wsp>
                      <wps:cNvSpPr txBox="1"/>
                      <wps:spPr>
                        <a:xfrm>
                          <a:off x="0" y="0"/>
                          <a:ext cx="1590040" cy="1213485"/>
                        </a:xfrm>
                        <a:prstGeom prst="rect">
                          <a:avLst/>
                        </a:prstGeom>
                        <a:solidFill>
                          <a:srgbClr val="FFFFFF"/>
                        </a:solidFill>
                        <a:ln>
                          <a:noFill/>
                        </a:ln>
                      </wps:spPr>
                      <wps:txbx>
                        <w:txbxContent>
                          <w:p w14:paraId="3EAB2966">
                            <w:pPr>
                              <w:spacing w:line="360" w:lineRule="auto"/>
                              <w:jc w:val="center"/>
                              <w:rPr>
                                <w:rFonts w:eastAsia="宋体"/>
                                <w:sz w:val="24"/>
                                <w:szCs w:val="32"/>
                              </w:rPr>
                            </w:pPr>
                            <w:r>
                              <w:rPr>
                                <w:rFonts w:hint="eastAsia" w:eastAsia="宋体"/>
                                <w:sz w:val="24"/>
                                <w:szCs w:val="32"/>
                              </w:rPr>
                              <w:t>图例</w:t>
                            </w:r>
                          </w:p>
                          <w:p w14:paraId="1A3DE1F7">
                            <w:pPr>
                              <w:ind w:firstLine="880" w:firstLineChars="400"/>
                              <w:rPr>
                                <w:rFonts w:eastAsia="宋体"/>
                                <w:sz w:val="22"/>
                                <w:szCs w:val="28"/>
                              </w:rPr>
                            </w:pPr>
                            <w:r>
                              <w:rPr>
                                <w:rFonts w:hint="eastAsia" w:eastAsia="宋体"/>
                                <w:sz w:val="22"/>
                                <w:szCs w:val="28"/>
                              </w:rPr>
                              <w:t>项目位置</w:t>
                            </w:r>
                          </w:p>
                          <w:p w14:paraId="6F3EBFE2">
                            <w:pPr>
                              <w:ind w:firstLine="880" w:firstLineChars="400"/>
                              <w:rPr>
                                <w:rFonts w:eastAsia="宋体"/>
                                <w:sz w:val="22"/>
                                <w:szCs w:val="28"/>
                              </w:rPr>
                            </w:pPr>
                            <w:r>
                              <w:rPr>
                                <w:rFonts w:hint="eastAsia" w:eastAsia="宋体"/>
                                <w:sz w:val="22"/>
                                <w:szCs w:val="28"/>
                              </w:rPr>
                              <w:t>大气保护范围</w:t>
                            </w:r>
                          </w:p>
                          <w:p w14:paraId="1C9A1CD5">
                            <w:pPr>
                              <w:ind w:firstLine="900" w:firstLineChars="500"/>
                              <w:rPr>
                                <w:rFonts w:eastAsia="宋体"/>
                                <w:sz w:val="22"/>
                                <w:szCs w:val="28"/>
                              </w:rPr>
                            </w:pPr>
                            <w:r>
                              <w:rPr>
                                <w:rFonts w:hint="eastAsia" w:eastAsia="宋体"/>
                                <w:spacing w:val="-20"/>
                                <w:sz w:val="22"/>
                                <w:szCs w:val="28"/>
                              </w:rPr>
                              <w:t>大气保护目</w:t>
                            </w:r>
                            <w:r>
                              <w:rPr>
                                <w:rFonts w:hint="eastAsia" w:eastAsia="宋体"/>
                                <w:sz w:val="22"/>
                                <w:szCs w:val="28"/>
                              </w:rPr>
                              <w:t>标</w:t>
                            </w:r>
                          </w:p>
                          <w:p w14:paraId="7682F930">
                            <w:pPr>
                              <w:ind w:firstLine="880" w:firstLineChars="400"/>
                              <w:rPr>
                                <w:rFonts w:eastAsia="宋体"/>
                                <w:sz w:val="22"/>
                                <w:szCs w:val="28"/>
                              </w:rPr>
                            </w:pPr>
                            <w:r>
                              <w:rPr>
                                <w:rFonts w:hint="eastAsia" w:eastAsia="宋体"/>
                                <w:sz w:val="22"/>
                                <w:szCs w:val="28"/>
                              </w:rPr>
                              <w:t>噪声保护范围</w:t>
                            </w:r>
                          </w:p>
                        </w:txbxContent>
                      </wps:txbx>
                      <wps:bodyPr upright="1"/>
                    </wps:wsp>
                  </a:graphicData>
                </a:graphic>
              </wp:anchor>
            </w:drawing>
          </mc:Choice>
          <mc:Fallback>
            <w:pict>
              <v:shape id="_x0000_s1026" o:spid="_x0000_s1026" o:spt="202" type="#_x0000_t202" style="position:absolute;left:0pt;margin-left:414pt;margin-top:286.55pt;height:95.55pt;width:125.2pt;z-index:251681792;mso-width-relative:page;mso-height-relative:page;" fillcolor="#FFFFFF" filled="t" stroked="f" coordsize="21600,21600" o:gfxdata="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hdhTh2gAAAAwBAAAPAAAAAAAAAAEAIAAAACIAAABkcnMvZG93bnJl&#10;di54bWxQSwECFAAUAAAACACHTuJAcMdSDMIBAAB6AwAADgAAAAAAAAABACAAAAApAQAAZHJzL2Uy&#10;b0RvYy54bWxQSwUGAAAAAAYABgBZAQAAXQUAAAAA&#10;">
                <v:fill on="t" focussize="0,0"/>
                <v:stroke on="f"/>
                <v:imagedata o:title=""/>
                <o:lock v:ext="edit" aspectratio="f"/>
                <v:textbox>
                  <w:txbxContent>
                    <w:p w14:paraId="3EAB2966">
                      <w:pPr>
                        <w:spacing w:line="360" w:lineRule="auto"/>
                        <w:jc w:val="center"/>
                        <w:rPr>
                          <w:rFonts w:eastAsia="宋体"/>
                          <w:sz w:val="24"/>
                          <w:szCs w:val="32"/>
                        </w:rPr>
                      </w:pPr>
                      <w:r>
                        <w:rPr>
                          <w:rFonts w:hint="eastAsia" w:eastAsia="宋体"/>
                          <w:sz w:val="24"/>
                          <w:szCs w:val="32"/>
                        </w:rPr>
                        <w:t>图例</w:t>
                      </w:r>
                    </w:p>
                    <w:p w14:paraId="1A3DE1F7">
                      <w:pPr>
                        <w:ind w:firstLine="880" w:firstLineChars="400"/>
                        <w:rPr>
                          <w:rFonts w:eastAsia="宋体"/>
                          <w:sz w:val="22"/>
                          <w:szCs w:val="28"/>
                        </w:rPr>
                      </w:pPr>
                      <w:r>
                        <w:rPr>
                          <w:rFonts w:hint="eastAsia" w:eastAsia="宋体"/>
                          <w:sz w:val="22"/>
                          <w:szCs w:val="28"/>
                        </w:rPr>
                        <w:t>项目位置</w:t>
                      </w:r>
                    </w:p>
                    <w:p w14:paraId="6F3EBFE2">
                      <w:pPr>
                        <w:ind w:firstLine="880" w:firstLineChars="400"/>
                        <w:rPr>
                          <w:rFonts w:eastAsia="宋体"/>
                          <w:sz w:val="22"/>
                          <w:szCs w:val="28"/>
                        </w:rPr>
                      </w:pPr>
                      <w:r>
                        <w:rPr>
                          <w:rFonts w:hint="eastAsia" w:eastAsia="宋体"/>
                          <w:sz w:val="22"/>
                          <w:szCs w:val="28"/>
                        </w:rPr>
                        <w:t>大气保护范围</w:t>
                      </w:r>
                    </w:p>
                    <w:p w14:paraId="1C9A1CD5">
                      <w:pPr>
                        <w:ind w:firstLine="900" w:firstLineChars="500"/>
                        <w:rPr>
                          <w:rFonts w:eastAsia="宋体"/>
                          <w:sz w:val="22"/>
                          <w:szCs w:val="28"/>
                        </w:rPr>
                      </w:pPr>
                      <w:r>
                        <w:rPr>
                          <w:rFonts w:hint="eastAsia" w:eastAsia="宋体"/>
                          <w:spacing w:val="-20"/>
                          <w:sz w:val="22"/>
                          <w:szCs w:val="28"/>
                        </w:rPr>
                        <w:t>大气保护目</w:t>
                      </w:r>
                      <w:r>
                        <w:rPr>
                          <w:rFonts w:hint="eastAsia" w:eastAsia="宋体"/>
                          <w:sz w:val="22"/>
                          <w:szCs w:val="28"/>
                        </w:rPr>
                        <w:t>标</w:t>
                      </w:r>
                    </w:p>
                    <w:p w14:paraId="7682F930">
                      <w:pPr>
                        <w:ind w:firstLine="880" w:firstLineChars="400"/>
                        <w:rPr>
                          <w:rFonts w:eastAsia="宋体"/>
                          <w:sz w:val="22"/>
                          <w:szCs w:val="28"/>
                        </w:rPr>
                      </w:pPr>
                      <w:r>
                        <w:rPr>
                          <w:rFonts w:hint="eastAsia" w:eastAsia="宋体"/>
                          <w:sz w:val="22"/>
                          <w:szCs w:val="28"/>
                        </w:rPr>
                        <w:t>噪声保护范围</w:t>
                      </w:r>
                    </w:p>
                  </w:txbxContent>
                </v:textbox>
              </v:shape>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5560060</wp:posOffset>
                </wp:positionH>
                <wp:positionV relativeFrom="paragraph">
                  <wp:posOffset>4393565</wp:posOffset>
                </wp:positionV>
                <wp:extent cx="276860" cy="129540"/>
                <wp:effectExtent l="12700" t="12700" r="15240" b="29210"/>
                <wp:wrapNone/>
                <wp:docPr id="73" name="矩形 73"/>
                <wp:cNvGraphicFramePr/>
                <a:graphic xmlns:a="http://schemas.openxmlformats.org/drawingml/2006/main">
                  <a:graphicData uri="http://schemas.microsoft.com/office/word/2010/wordprocessingShape">
                    <wps:wsp>
                      <wps:cNvSpPr/>
                      <wps:spPr>
                        <a:xfrm>
                          <a:off x="0" y="0"/>
                          <a:ext cx="276860" cy="129540"/>
                        </a:xfrm>
                        <a:prstGeom prst="rect">
                          <a:avLst/>
                        </a:prstGeom>
                        <a:solidFill>
                          <a:srgbClr val="0070C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7.8pt;margin-top:345.95pt;height:10.2pt;width:21.8pt;z-index:251684864;v-text-anchor:middle;mso-width-relative:page;mso-height-relative:page;" fillcolor="#0070C0" filled="t" stroked="t" coordsize="21600,21600" o:gfxdata="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OPrIDrZAAAACwEAAA8AAAAAAAAAAQAgAAAAIgAAAGRycy9kb3ducmV2LnhtbFBL&#10;AQIUABQAAAAIAIdO4kCk7jQNZwIAAN4EAAAOAAAAAAAAAAEAIAAAACgBAABkcnMvZTJvRG9jLnht&#10;bFBLBQYAAAAABgAGAFkBAAABBgAAAAA=&#10;">
                <v:fill on="t" focussize="0,0"/>
                <v:stroke weight="2pt" color="#FF0000 [2404]" joinstyle="round"/>
                <v:imagedata o:title=""/>
                <o:lock v:ext="edit" aspectratio="f"/>
              </v:rect>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5574030</wp:posOffset>
                </wp:positionH>
                <wp:positionV relativeFrom="paragraph">
                  <wp:posOffset>4592320</wp:posOffset>
                </wp:positionV>
                <wp:extent cx="276860" cy="129540"/>
                <wp:effectExtent l="12700" t="12700" r="15240" b="29210"/>
                <wp:wrapNone/>
                <wp:docPr id="74" name="矩形 74"/>
                <wp:cNvGraphicFramePr/>
                <a:graphic xmlns:a="http://schemas.openxmlformats.org/drawingml/2006/main">
                  <a:graphicData uri="http://schemas.microsoft.com/office/word/2010/wordprocessingShape">
                    <wps:wsp>
                      <wps:cNvSpPr/>
                      <wps:spPr>
                        <a:xfrm>
                          <a:off x="0" y="0"/>
                          <a:ext cx="276860" cy="129540"/>
                        </a:xfrm>
                        <a:prstGeom prst="rect">
                          <a:avLst/>
                        </a:prstGeom>
                        <a:noFill/>
                        <a:ln>
                          <a:solidFill>
                            <a:srgbClr val="92D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8.9pt;margin-top:361.6pt;height:10.2pt;width:21.8pt;z-index:251685888;v-text-anchor:middle;mso-width-relative:page;mso-height-relative:page;" filled="f" stroked="t" coordsize="21600,21600" o:gfxdata="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XSb9NkAAAALAQAADwAAAAAAAAABACAAAAAiAAAAZHJzL2Rvd25yZXYueG1sUEsBAhQAFAAAAAgA&#10;h07iQLotRoNdAgAAtQQAAA4AAAAAAAAAAQAgAAAAKAEAAGRycy9lMm9Eb2MueG1sUEsFBgAAAAAG&#10;AAYAWQEAAPcFAAAAAA==&#10;">
                <v:fill on="f" focussize="0,0"/>
                <v:stroke weight="2pt" color="#92D050 [2404]" joinstyle="round"/>
                <v:imagedata o:title=""/>
                <o:lock v:ext="edit" aspectratio="f"/>
              </v:rect>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5565140</wp:posOffset>
                </wp:positionH>
                <wp:positionV relativeFrom="paragraph">
                  <wp:posOffset>4194810</wp:posOffset>
                </wp:positionV>
                <wp:extent cx="276860" cy="129540"/>
                <wp:effectExtent l="12700" t="12700" r="15240" b="29210"/>
                <wp:wrapNone/>
                <wp:docPr id="72" name="矩形 72"/>
                <wp:cNvGraphicFramePr/>
                <a:graphic xmlns:a="http://schemas.openxmlformats.org/drawingml/2006/main">
                  <a:graphicData uri="http://schemas.microsoft.com/office/word/2010/wordprocessingShape">
                    <wps:wsp>
                      <wps:cNvSpPr/>
                      <wps:spPr>
                        <a:xfrm>
                          <a:off x="0" y="0"/>
                          <a:ext cx="276860" cy="12954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8.2pt;margin-top:330.3pt;height:10.2pt;width:21.8pt;z-index:251683840;v-text-anchor:middle;mso-width-relative:page;mso-height-relative:page;" filled="f" stroked="t" coordsize="21600,21600" o:gfxdata="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7U&#10;qTDYAAAACwEAAA8AAAAAAAAAAQAgAAAAIgAAAGRycy9kb3ducmV2LnhtbFBLAQIUABQAAAAIAIdO&#10;4kBqupfPXAIAALUEAAAOAAAAAAAAAAEAIAAAACcBAABkcnMvZTJvRG9jLnhtbFBLBQYAAAAABgAG&#10;AFkBAAD1BQAAAAA=&#10;">
                <v:fill on="f" focussize="0,0"/>
                <v:stroke weight="2pt" color="#FF0000 [2404]" joinstyle="round"/>
                <v:imagedata o:title=""/>
                <o:lock v:ext="edit" aspectratio="f"/>
              </v:rect>
            </w:pict>
          </mc:Fallback>
        </mc:AlternateContent>
      </w:r>
      <w:r>
        <w:rPr>
          <w:rFonts w:eastAsia="宋体"/>
          <w:color w:val="000000" w:themeColor="text1"/>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5560695</wp:posOffset>
                </wp:positionH>
                <wp:positionV relativeFrom="paragraph">
                  <wp:posOffset>4015105</wp:posOffset>
                </wp:positionV>
                <wp:extent cx="276860" cy="129540"/>
                <wp:effectExtent l="12700" t="12700" r="15240" b="29210"/>
                <wp:wrapNone/>
                <wp:docPr id="71" name="矩形 71"/>
                <wp:cNvGraphicFramePr/>
                <a:graphic xmlns:a="http://schemas.openxmlformats.org/drawingml/2006/main">
                  <a:graphicData uri="http://schemas.microsoft.com/office/word/2010/wordprocessingShape">
                    <wps:wsp>
                      <wps:cNvSpPr/>
                      <wps:spPr>
                        <a:xfrm>
                          <a:off x="6253480" y="5575935"/>
                          <a:ext cx="276860" cy="129540"/>
                        </a:xfrm>
                        <a:prstGeom prst="rect">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7.85pt;margin-top:316.15pt;height:10.2pt;width:21.8pt;z-index:251682816;v-text-anchor:middle;mso-width-relative:page;mso-height-relative:page;" fillcolor="#FFFF00" filled="t" stroked="t" coordsize="21600,21600" o:gfxdata="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IsyfmNsAAAALAQAADwAAAAAAAAABACAAAAAiAAAAZHJzL2Rvd25y&#10;ZXYueG1sUEsBAhQAFAAAAAgAh07iQEiKjAttAgAA6gQAAA4AAAAAAAAAAQAgAAAAKgEAAGRycy9l&#10;Mm9Eb2MueG1sUEsFBgAAAAAGAAYAWQEAAAkGAAAAAA==&#10;">
                <v:fill on="t" focussize="0,0"/>
                <v:stroke weight="2pt" color="#FFFF00 [2404]" joinstyle="round"/>
                <v:imagedata o:title=""/>
                <o:lock v:ext="edit" aspectratio="f"/>
              </v:rect>
            </w:pict>
          </mc:Fallback>
        </mc:AlternateContent>
      </w:r>
      <w:r>
        <w:rPr>
          <w:rFonts w:eastAsia="宋体"/>
          <w:color w:val="000000" w:themeColor="text1"/>
          <w14:textFill>
            <w14:solidFill>
              <w14:schemeClr w14:val="tx1"/>
            </w14:solidFill>
          </w14:textFill>
        </w:rPr>
        <w:drawing>
          <wp:anchor distT="0" distB="0" distL="114300" distR="114300" simplePos="0" relativeHeight="251680768" behindDoc="0" locked="0" layoutInCell="1" allowOverlap="1">
            <wp:simplePos x="0" y="0"/>
            <wp:positionH relativeFrom="column">
              <wp:posOffset>6242050</wp:posOffset>
            </wp:positionH>
            <wp:positionV relativeFrom="paragraph">
              <wp:posOffset>31115</wp:posOffset>
            </wp:positionV>
            <wp:extent cx="639445" cy="610235"/>
            <wp:effectExtent l="0" t="0" r="8255" b="18415"/>
            <wp:wrapNone/>
            <wp:docPr id="69" name="图片 2" descr="745611c229ca24e3cc8be814944b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descr="745611c229ca24e3cc8be814944b21a"/>
                    <pic:cNvPicPr>
                      <a:picLocks noChangeAspect="1"/>
                    </pic:cNvPicPr>
                  </pic:nvPicPr>
                  <pic:blipFill>
                    <a:blip r:embed="rId42"/>
                    <a:stretch>
                      <a:fillRect/>
                    </a:stretch>
                  </pic:blipFill>
                  <pic:spPr>
                    <a:xfrm>
                      <a:off x="0" y="0"/>
                      <a:ext cx="639445" cy="610235"/>
                    </a:xfrm>
                    <a:prstGeom prst="rect">
                      <a:avLst/>
                    </a:prstGeom>
                    <a:noFill/>
                    <a:ln>
                      <a:noFill/>
                    </a:ln>
                  </pic:spPr>
                </pic:pic>
              </a:graphicData>
            </a:graphic>
          </wp:anchor>
        </w:drawing>
      </w:r>
      <w:r>
        <w:rPr>
          <w:rFonts w:hint="eastAsia"/>
          <w:color w:val="000000" w:themeColor="text1"/>
          <w:lang w:eastAsia="zh-CN"/>
          <w14:textFill>
            <w14:solidFill>
              <w14:schemeClr w14:val="tx1"/>
            </w14:solidFill>
          </w14:textFill>
        </w:rPr>
        <w:tab/>
      </w:r>
    </w:p>
    <w:p w14:paraId="19C258C2">
      <w:pPr>
        <w:outlineLvl w:val="0"/>
        <w:rPr>
          <w:rFonts w:hint="eastAsia" w:eastAsia="宋体"/>
          <w:b/>
          <w:bCs/>
          <w:snapToGrid w:val="0"/>
          <w:color w:val="000000" w:themeColor="text1"/>
          <w:sz w:val="24"/>
          <w:lang w:val="en-US" w:eastAsia="zh-CN"/>
          <w14:textFill>
            <w14:solidFill>
              <w14:schemeClr w14:val="tx1"/>
            </w14:solidFill>
          </w14:textFill>
        </w:rPr>
      </w:pPr>
      <w:bookmarkStart w:id="62" w:name="_Toc16721"/>
      <w:r>
        <w:rPr>
          <w:rFonts w:eastAsia="宋体"/>
          <w:b/>
          <w:bCs/>
          <w:snapToGrid w:val="0"/>
          <w:color w:val="000000" w:themeColor="text1"/>
          <w:sz w:val="24"/>
          <w14:textFill>
            <w14:solidFill>
              <w14:schemeClr w14:val="tx1"/>
            </w14:solidFill>
          </w14:textFill>
        </w:rPr>
        <w:t>附图</w:t>
      </w:r>
      <w:r>
        <w:rPr>
          <w:rFonts w:hint="eastAsia" w:eastAsia="宋体"/>
          <w:b/>
          <w:bCs/>
          <w:snapToGrid w:val="0"/>
          <w:color w:val="000000" w:themeColor="text1"/>
          <w:sz w:val="24"/>
          <w:lang w:val="en-US" w:eastAsia="zh-CN"/>
          <w14:textFill>
            <w14:solidFill>
              <w14:schemeClr w14:val="tx1"/>
            </w14:solidFill>
          </w14:textFill>
        </w:rPr>
        <w:t>5</w:t>
      </w:r>
      <w:r>
        <w:rPr>
          <w:rFonts w:eastAsia="宋体"/>
          <w:b/>
          <w:bCs/>
          <w:snapToGrid w:val="0"/>
          <w:color w:val="000000" w:themeColor="text1"/>
          <w:sz w:val="24"/>
          <w14:textFill>
            <w14:solidFill>
              <w14:schemeClr w14:val="tx1"/>
            </w14:solidFill>
          </w14:textFill>
        </w:rPr>
        <w:t xml:space="preserve"> </w:t>
      </w:r>
      <w:r>
        <w:rPr>
          <w:rFonts w:hint="eastAsia" w:eastAsia="宋体"/>
          <w:b/>
          <w:bCs/>
          <w:snapToGrid w:val="0"/>
          <w:color w:val="000000" w:themeColor="text1"/>
          <w:sz w:val="24"/>
          <w:lang w:val="en-US" w:eastAsia="zh-CN"/>
          <w14:textFill>
            <w14:solidFill>
              <w14:schemeClr w14:val="tx1"/>
            </w14:solidFill>
          </w14:textFill>
        </w:rPr>
        <w:t>风险评价范围</w:t>
      </w:r>
      <w:bookmarkEnd w:id="62"/>
    </w:p>
    <w:p w14:paraId="7B310508">
      <w:pPr>
        <w:bidi w:val="0"/>
        <w:rPr>
          <w:rFonts w:hint="default"/>
          <w:color w:val="000000" w:themeColor="text1"/>
          <w:lang w:val="en-US" w:eastAsia="zh-CN"/>
          <w14:textFill>
            <w14:solidFill>
              <w14:schemeClr w14:val="tx1"/>
            </w14:solidFill>
          </w14:textFill>
        </w:rPr>
      </w:pPr>
    </w:p>
    <w:p w14:paraId="135827FA">
      <w:pPr>
        <w:bidi w:val="0"/>
        <w:rPr>
          <w:rFonts w:hint="eastAsia"/>
          <w:color w:val="000000" w:themeColor="text1"/>
          <w:lang w:eastAsia="zh-CN"/>
          <w14:textFill>
            <w14:solidFill>
              <w14:schemeClr w14:val="tx1"/>
            </w14:solidFill>
          </w14:textFill>
        </w:rPr>
        <w:sectPr>
          <w:pgSz w:w="16838" w:h="11906" w:orient="landscape"/>
          <w:pgMar w:top="1797" w:right="1440" w:bottom="1797" w:left="1440" w:header="851" w:footer="992" w:gutter="0"/>
          <w:cols w:space="720" w:num="1"/>
          <w:docGrid w:linePitch="312" w:charSpace="0"/>
        </w:sectPr>
      </w:pPr>
      <w:r>
        <w:rPr>
          <w:rFonts w:eastAsia="宋体"/>
          <w:color w:val="000000" w:themeColor="text1"/>
          <w14:textFill>
            <w14:solidFill>
              <w14:schemeClr w14:val="tx1"/>
            </w14:solidFill>
          </w14:textFill>
        </w:rPr>
        <w:drawing>
          <wp:anchor distT="0" distB="0" distL="114300" distR="114300" simplePos="0" relativeHeight="251687936" behindDoc="0" locked="0" layoutInCell="1" allowOverlap="1">
            <wp:simplePos x="0" y="0"/>
            <wp:positionH relativeFrom="column">
              <wp:posOffset>5626735</wp:posOffset>
            </wp:positionH>
            <wp:positionV relativeFrom="paragraph">
              <wp:posOffset>45085</wp:posOffset>
            </wp:positionV>
            <wp:extent cx="639445" cy="610235"/>
            <wp:effectExtent l="0" t="0" r="8255" b="18415"/>
            <wp:wrapNone/>
            <wp:docPr id="59" name="图片 2" descr="745611c229ca24e3cc8be814944b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 descr="745611c229ca24e3cc8be814944b21a"/>
                    <pic:cNvPicPr>
                      <a:picLocks noChangeAspect="1"/>
                    </pic:cNvPicPr>
                  </pic:nvPicPr>
                  <pic:blipFill>
                    <a:blip r:embed="rId42"/>
                    <a:stretch>
                      <a:fillRect/>
                    </a:stretch>
                  </pic:blipFill>
                  <pic:spPr>
                    <a:xfrm>
                      <a:off x="0" y="0"/>
                      <a:ext cx="639445" cy="610235"/>
                    </a:xfrm>
                    <a:prstGeom prst="rect">
                      <a:avLst/>
                    </a:prstGeom>
                    <a:noFill/>
                    <a:ln>
                      <a:noFill/>
                    </a:ln>
                  </pic:spPr>
                </pic:pic>
              </a:graphicData>
            </a:graphic>
          </wp:anchor>
        </w:drawing>
      </w:r>
      <w:r>
        <w:rPr>
          <w:color w:val="000000" w:themeColor="text1"/>
          <w14:textFill>
            <w14:solidFill>
              <w14:schemeClr w14:val="tx1"/>
            </w14:solidFill>
          </w14:textFill>
        </w:rPr>
        <w:drawing>
          <wp:inline distT="0" distB="0" distL="114300" distR="114300">
            <wp:extent cx="6225540" cy="4737735"/>
            <wp:effectExtent l="0" t="0" r="3810" b="5715"/>
            <wp:docPr id="7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3"/>
                    <pic:cNvPicPr>
                      <a:picLocks noChangeAspect="1"/>
                    </pic:cNvPicPr>
                  </pic:nvPicPr>
                  <pic:blipFill>
                    <a:blip r:embed="rId50"/>
                    <a:stretch>
                      <a:fillRect/>
                    </a:stretch>
                  </pic:blipFill>
                  <pic:spPr>
                    <a:xfrm>
                      <a:off x="0" y="0"/>
                      <a:ext cx="6225540" cy="4737735"/>
                    </a:xfrm>
                    <a:prstGeom prst="rect">
                      <a:avLst/>
                    </a:prstGeom>
                    <a:noFill/>
                    <a:ln>
                      <a:noFill/>
                    </a:ln>
                  </pic:spPr>
                </pic:pic>
              </a:graphicData>
            </a:graphic>
          </wp:inline>
        </w:drawing>
      </w:r>
    </w:p>
    <w:p w14:paraId="23C45804">
      <w:pPr>
        <w:rPr>
          <w:rFonts w:eastAsia="宋体"/>
          <w:b/>
          <w:bCs/>
          <w:snapToGrid w:val="0"/>
          <w:color w:val="000000" w:themeColor="text1"/>
          <w:sz w:val="24"/>
          <w14:textFill>
            <w14:solidFill>
              <w14:schemeClr w14:val="tx1"/>
            </w14:solidFill>
          </w14:textFill>
        </w:rPr>
      </w:pPr>
    </w:p>
    <w:p w14:paraId="3A17E9ED">
      <w:pPr>
        <w:pStyle w:val="28"/>
        <w:adjustRightInd w:val="0"/>
        <w:snapToGrid w:val="0"/>
        <w:spacing w:before="0" w:beforeAutospacing="0" w:after="0" w:afterAutospacing="0"/>
        <w:outlineLvl w:val="0"/>
        <w:rPr>
          <w:rFonts w:ascii="Times New Roman" w:hAnsi="Times New Roman" w:eastAsia="宋体"/>
          <w:b/>
          <w:bCs/>
          <w:snapToGrid w:val="0"/>
          <w:color w:val="000000" w:themeColor="text1"/>
          <w:szCs w:val="24"/>
          <w14:textFill>
            <w14:solidFill>
              <w14:schemeClr w14:val="tx1"/>
            </w14:solidFill>
          </w14:textFill>
        </w:rPr>
      </w:pPr>
      <w:bookmarkStart w:id="63" w:name="_Toc9416"/>
      <w:bookmarkStart w:id="143" w:name="_GoBack"/>
      <w:bookmarkEnd w:id="143"/>
      <w:r>
        <w:rPr>
          <w:rFonts w:ascii="Times New Roman" w:hAnsi="Times New Roman" w:eastAsia="宋体"/>
          <w:b/>
          <w:bCs/>
          <w:snapToGrid w:val="0"/>
          <w:color w:val="000000" w:themeColor="text1"/>
          <w:szCs w:val="24"/>
          <w14:textFill>
            <w14:solidFill>
              <w14:schemeClr w14:val="tx1"/>
            </w14:solidFill>
          </w14:textFill>
        </w:rPr>
        <w:t>附件1营业执照</w:t>
      </w:r>
      <w:bookmarkEnd w:id="63"/>
    </w:p>
    <w:p w14:paraId="1C60B530">
      <w:pPr>
        <w:pStyle w:val="28"/>
        <w:adjustRightInd w:val="0"/>
        <w:snapToGrid w:val="0"/>
        <w:spacing w:before="0" w:beforeAutospacing="0" w:after="0" w:afterAutospacing="0"/>
        <w:rPr>
          <w:rFonts w:ascii="Times New Roman" w:hAnsi="Times New Roman" w:eastAsia="宋体"/>
          <w:snapToGrid w:val="0"/>
          <w:color w:val="000000" w:themeColor="text1"/>
          <w:sz w:val="32"/>
          <w:szCs w:val="32"/>
          <w14:textFill>
            <w14:solidFill>
              <w14:schemeClr w14:val="tx1"/>
            </w14:solidFill>
          </w14:textFill>
        </w:rPr>
      </w:pPr>
    </w:p>
    <w:p w14:paraId="2A130390">
      <w:pPr>
        <w:pStyle w:val="28"/>
        <w:adjustRightInd w:val="0"/>
        <w:snapToGrid w:val="0"/>
        <w:spacing w:before="0" w:beforeAutospacing="0" w:after="0" w:afterAutospacing="0"/>
        <w:rPr>
          <w:rFonts w:ascii="Times New Roman" w:hAnsi="Times New Roman" w:eastAsia="宋体"/>
          <w:snapToGrid w:val="0"/>
          <w:color w:val="000000" w:themeColor="text1"/>
          <w:sz w:val="32"/>
          <w:szCs w:val="32"/>
          <w14:textFill>
            <w14:solidFill>
              <w14:schemeClr w14:val="tx1"/>
            </w14:solidFill>
          </w14:textFill>
        </w:rPr>
      </w:pPr>
    </w:p>
    <w:p w14:paraId="08355BFB">
      <w:pPr>
        <w:pStyle w:val="28"/>
        <w:adjustRightInd w:val="0"/>
        <w:snapToGrid w:val="0"/>
        <w:spacing w:before="0" w:beforeAutospacing="0" w:after="0" w:afterAutospacing="0"/>
        <w:rPr>
          <w:rFonts w:ascii="Times New Roman" w:hAnsi="Times New Roman" w:eastAsia="宋体"/>
          <w:snapToGrid w:val="0"/>
          <w:color w:val="000000" w:themeColor="text1"/>
          <w:sz w:val="32"/>
          <w:szCs w:val="32"/>
          <w14:textFill>
            <w14:solidFill>
              <w14:schemeClr w14:val="tx1"/>
            </w14:solidFill>
          </w14:textFill>
        </w:rPr>
      </w:pPr>
    </w:p>
    <w:p w14:paraId="6EC5998E">
      <w:pPr>
        <w:pStyle w:val="28"/>
        <w:adjustRightInd w:val="0"/>
        <w:snapToGrid w:val="0"/>
        <w:spacing w:before="0" w:beforeAutospacing="0" w:after="0" w:afterAutospacing="0"/>
        <w:rPr>
          <w:rFonts w:ascii="Times New Roman" w:hAnsi="Times New Roman" w:eastAsia="宋体"/>
          <w:snapToGrid w:val="0"/>
          <w:color w:val="000000" w:themeColor="text1"/>
          <w:sz w:val="32"/>
          <w:szCs w:val="32"/>
          <w14:textFill>
            <w14:solidFill>
              <w14:schemeClr w14:val="tx1"/>
            </w14:solidFill>
          </w14:textFill>
        </w:rPr>
      </w:pPr>
      <w:r>
        <w:rPr>
          <w:rFonts w:ascii="Times New Roman" w:hAnsi="Times New Roman" w:eastAsia="宋体"/>
          <w:snapToGrid w:val="0"/>
          <w:color w:val="000000" w:themeColor="text1"/>
          <w:sz w:val="32"/>
          <w:szCs w:val="32"/>
          <w14:textFill>
            <w14:solidFill>
              <w14:schemeClr w14:val="tx1"/>
            </w14:solidFill>
          </w14:textFill>
        </w:rPr>
        <w:drawing>
          <wp:inline distT="0" distB="0" distL="114300" distR="114300">
            <wp:extent cx="3606800" cy="5184140"/>
            <wp:effectExtent l="0" t="0" r="16510" b="12700"/>
            <wp:docPr id="55" name="图片 55"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营业执照"/>
                    <pic:cNvPicPr>
                      <a:picLocks noChangeAspect="1"/>
                    </pic:cNvPicPr>
                  </pic:nvPicPr>
                  <pic:blipFill>
                    <a:blip r:embed="rId51"/>
                    <a:srcRect l="6564" t="3908" r="7014" b="2979"/>
                    <a:stretch>
                      <a:fillRect/>
                    </a:stretch>
                  </pic:blipFill>
                  <pic:spPr>
                    <a:xfrm rot="16200000">
                      <a:off x="0" y="0"/>
                      <a:ext cx="3606800" cy="5184140"/>
                    </a:xfrm>
                    <a:prstGeom prst="rect">
                      <a:avLst/>
                    </a:prstGeom>
                  </pic:spPr>
                </pic:pic>
              </a:graphicData>
            </a:graphic>
          </wp:inline>
        </w:drawing>
      </w:r>
    </w:p>
    <w:p w14:paraId="416562C9">
      <w:pPr>
        <w:widowControl/>
        <w:jc w:val="center"/>
        <w:rPr>
          <w:rFonts w:eastAsia="宋体"/>
          <w:color w:val="000000" w:themeColor="text1"/>
          <w:sz w:val="32"/>
          <w:szCs w:val="32"/>
          <w14:textFill>
            <w14:solidFill>
              <w14:schemeClr w14:val="tx1"/>
            </w14:solidFill>
          </w14:textFill>
        </w:rPr>
      </w:pPr>
    </w:p>
    <w:p w14:paraId="6D0129DF">
      <w:pPr>
        <w:pStyle w:val="31"/>
        <w:ind w:firstLine="320"/>
        <w:rPr>
          <w:rFonts w:eastAsia="宋体"/>
          <w:color w:val="000000" w:themeColor="text1"/>
          <w:sz w:val="32"/>
          <w:szCs w:val="32"/>
          <w14:textFill>
            <w14:solidFill>
              <w14:schemeClr w14:val="tx1"/>
            </w14:solidFill>
          </w14:textFill>
        </w:rPr>
        <w:sectPr>
          <w:pgSz w:w="11906" w:h="16838"/>
          <w:pgMar w:top="1440" w:right="1797" w:bottom="1440" w:left="1797" w:header="851" w:footer="992" w:gutter="0"/>
          <w:cols w:space="720" w:num="1"/>
          <w:docGrid w:linePitch="312" w:charSpace="0"/>
        </w:sectPr>
      </w:pPr>
    </w:p>
    <w:p w14:paraId="259D103F">
      <w:pPr>
        <w:pStyle w:val="28"/>
        <w:adjustRightInd w:val="0"/>
        <w:snapToGrid w:val="0"/>
        <w:spacing w:before="0" w:beforeAutospacing="0" w:after="0" w:afterAutospacing="0" w:line="500" w:lineRule="exact"/>
        <w:outlineLvl w:val="0"/>
        <w:rPr>
          <w:rFonts w:ascii="Times New Roman" w:hAnsi="Times New Roman" w:eastAsia="宋体"/>
          <w:b/>
          <w:bCs/>
          <w:snapToGrid w:val="0"/>
          <w:color w:val="000000" w:themeColor="text1"/>
          <w:szCs w:val="24"/>
          <w14:textFill>
            <w14:solidFill>
              <w14:schemeClr w14:val="tx1"/>
            </w14:solidFill>
          </w14:textFill>
        </w:rPr>
      </w:pPr>
      <w:bookmarkStart w:id="64" w:name="_Toc1360"/>
      <w:r>
        <w:rPr>
          <w:rFonts w:ascii="Times New Roman" w:hAnsi="Times New Roman" w:eastAsia="宋体"/>
          <w:b/>
          <w:bCs/>
          <w:snapToGrid w:val="0"/>
          <w:color w:val="000000" w:themeColor="text1"/>
          <w:szCs w:val="24"/>
          <w14:textFill>
            <w14:solidFill>
              <w14:schemeClr w14:val="tx1"/>
            </w14:solidFill>
          </w14:textFill>
        </w:rPr>
        <w:t>附件2土地证明</w:t>
      </w:r>
      <w:bookmarkEnd w:id="64"/>
    </w:p>
    <w:p w14:paraId="0D731982">
      <w:pPr>
        <w:rPr>
          <w:rFonts w:eastAsia="宋体"/>
          <w:color w:val="000000" w:themeColor="text1"/>
          <w14:textFill>
            <w14:solidFill>
              <w14:schemeClr w14:val="tx1"/>
            </w14:solidFill>
          </w14:textFill>
        </w:rPr>
      </w:pPr>
    </w:p>
    <w:p w14:paraId="4279BF07">
      <w:pPr>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drawing>
          <wp:inline distT="0" distB="0" distL="114300" distR="114300">
            <wp:extent cx="5266690" cy="7451725"/>
            <wp:effectExtent l="0" t="0" r="10160" b="15875"/>
            <wp:docPr id="52" name="图片 52" descr="089f1f361c0bd315f49507c9b6c626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089f1f361c0bd315f49507c9b6c6266f"/>
                    <pic:cNvPicPr>
                      <a:picLocks noChangeAspect="1"/>
                    </pic:cNvPicPr>
                  </pic:nvPicPr>
                  <pic:blipFill>
                    <a:blip r:embed="rId52"/>
                    <a:stretch>
                      <a:fillRect/>
                    </a:stretch>
                  </pic:blipFill>
                  <pic:spPr>
                    <a:xfrm>
                      <a:off x="0" y="0"/>
                      <a:ext cx="5266690" cy="7451725"/>
                    </a:xfrm>
                    <a:prstGeom prst="rect">
                      <a:avLst/>
                    </a:prstGeom>
                  </pic:spPr>
                </pic:pic>
              </a:graphicData>
            </a:graphic>
          </wp:inline>
        </w:drawing>
      </w:r>
      <w:r>
        <w:rPr>
          <w:rFonts w:eastAsia="宋体"/>
          <w:color w:val="000000" w:themeColor="text1"/>
          <w14:textFill>
            <w14:solidFill>
              <w14:schemeClr w14:val="tx1"/>
            </w14:solidFill>
          </w14:textFill>
        </w:rPr>
        <w:drawing>
          <wp:inline distT="0" distB="0" distL="114300" distR="114300">
            <wp:extent cx="5274945" cy="7737475"/>
            <wp:effectExtent l="0" t="0" r="1905" b="15875"/>
            <wp:docPr id="53" name="图片 53" descr="aeeef22bd537707608ab8e3f77946f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aeeef22bd537707608ab8e3f77946f41"/>
                    <pic:cNvPicPr>
                      <a:picLocks noChangeAspect="1"/>
                    </pic:cNvPicPr>
                  </pic:nvPicPr>
                  <pic:blipFill>
                    <a:blip r:embed="rId53"/>
                    <a:stretch>
                      <a:fillRect/>
                    </a:stretch>
                  </pic:blipFill>
                  <pic:spPr>
                    <a:xfrm>
                      <a:off x="0" y="0"/>
                      <a:ext cx="5274945" cy="7737475"/>
                    </a:xfrm>
                    <a:prstGeom prst="rect">
                      <a:avLst/>
                    </a:prstGeom>
                  </pic:spPr>
                </pic:pic>
              </a:graphicData>
            </a:graphic>
          </wp:inline>
        </w:drawing>
      </w:r>
      <w:r>
        <w:rPr>
          <w:rFonts w:eastAsia="宋体"/>
          <w:color w:val="000000" w:themeColor="text1"/>
          <w14:textFill>
            <w14:solidFill>
              <w14:schemeClr w14:val="tx1"/>
            </w14:solidFill>
          </w14:textFill>
        </w:rPr>
        <w:drawing>
          <wp:inline distT="0" distB="0" distL="114300" distR="114300">
            <wp:extent cx="5273675" cy="3874135"/>
            <wp:effectExtent l="0" t="0" r="3175" b="12065"/>
            <wp:docPr id="36" name="图片 36" descr="微信图片_20260726101934_117_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60726101934_117_1595"/>
                    <pic:cNvPicPr>
                      <a:picLocks noChangeAspect="1"/>
                    </pic:cNvPicPr>
                  </pic:nvPicPr>
                  <pic:blipFill>
                    <a:blip r:embed="rId54"/>
                    <a:stretch>
                      <a:fillRect/>
                    </a:stretch>
                  </pic:blipFill>
                  <pic:spPr>
                    <a:xfrm>
                      <a:off x="0" y="0"/>
                      <a:ext cx="5273675" cy="3874135"/>
                    </a:xfrm>
                    <a:prstGeom prst="rect">
                      <a:avLst/>
                    </a:prstGeom>
                  </pic:spPr>
                </pic:pic>
              </a:graphicData>
            </a:graphic>
          </wp:inline>
        </w:drawing>
      </w:r>
      <w:r>
        <w:rPr>
          <w:rFonts w:eastAsia="宋体"/>
          <w:color w:val="000000" w:themeColor="text1"/>
          <w14:textFill>
            <w14:solidFill>
              <w14:schemeClr w14:val="tx1"/>
            </w14:solidFill>
          </w14:textFill>
        </w:rPr>
        <w:drawing>
          <wp:inline distT="0" distB="0" distL="114300" distR="114300">
            <wp:extent cx="5205730" cy="8846185"/>
            <wp:effectExtent l="0" t="0" r="13970" b="12065"/>
            <wp:docPr id="54" name="图片 54" descr="ecefadf20f2adc0ad5f84e9efb710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ecefadf20f2adc0ad5f84e9efb710e65"/>
                    <pic:cNvPicPr>
                      <a:picLocks noChangeAspect="1"/>
                    </pic:cNvPicPr>
                  </pic:nvPicPr>
                  <pic:blipFill>
                    <a:blip r:embed="rId55"/>
                    <a:stretch>
                      <a:fillRect/>
                    </a:stretch>
                  </pic:blipFill>
                  <pic:spPr>
                    <a:xfrm>
                      <a:off x="0" y="0"/>
                      <a:ext cx="5205730" cy="8846185"/>
                    </a:xfrm>
                    <a:prstGeom prst="rect">
                      <a:avLst/>
                    </a:prstGeom>
                  </pic:spPr>
                </pic:pic>
              </a:graphicData>
            </a:graphic>
          </wp:inline>
        </w:drawing>
      </w:r>
    </w:p>
    <w:p w14:paraId="73FD35EE">
      <w:pPr>
        <w:rPr>
          <w:rFonts w:eastAsia="宋体"/>
          <w:snapToGrid w:val="0"/>
          <w:color w:val="000000" w:themeColor="text1"/>
          <w:kern w:val="0"/>
          <w:sz w:val="32"/>
          <w:szCs w:val="32"/>
          <w14:textFill>
            <w14:solidFill>
              <w14:schemeClr w14:val="tx1"/>
            </w14:solidFill>
          </w14:textFill>
        </w:rPr>
      </w:pPr>
      <w:r>
        <w:rPr>
          <w:rFonts w:eastAsia="宋体"/>
          <w:snapToGrid w:val="0"/>
          <w:color w:val="000000" w:themeColor="text1"/>
          <w:sz w:val="32"/>
          <w:szCs w:val="32"/>
          <w14:textFill>
            <w14:solidFill>
              <w14:schemeClr w14:val="tx1"/>
            </w14:solidFill>
          </w14:textFill>
        </w:rPr>
        <w:br w:type="page"/>
      </w:r>
    </w:p>
    <w:p w14:paraId="6517EE5B">
      <w:pPr>
        <w:pStyle w:val="28"/>
        <w:adjustRightInd w:val="0"/>
        <w:snapToGrid w:val="0"/>
        <w:spacing w:before="0" w:beforeAutospacing="0" w:after="0" w:afterAutospacing="0" w:line="500" w:lineRule="exact"/>
        <w:rPr>
          <w:rFonts w:ascii="Times New Roman" w:hAnsi="Times New Roman" w:eastAsia="宋体"/>
          <w:snapToGrid w:val="0"/>
          <w:color w:val="000000" w:themeColor="text1"/>
          <w:sz w:val="32"/>
          <w:szCs w:val="32"/>
          <w14:textFill>
            <w14:solidFill>
              <w14:schemeClr w14:val="tx1"/>
            </w14:solidFill>
          </w14:textFill>
        </w:rPr>
        <w:sectPr>
          <w:pgSz w:w="11906" w:h="16838"/>
          <w:pgMar w:top="1440" w:right="1797" w:bottom="1440" w:left="1797" w:header="851" w:footer="992" w:gutter="0"/>
          <w:cols w:space="720" w:num="1"/>
          <w:docGrid w:linePitch="312" w:charSpace="0"/>
        </w:sectPr>
      </w:pPr>
    </w:p>
    <w:p w14:paraId="2EF6B83D">
      <w:pPr>
        <w:outlineLvl w:val="0"/>
        <w:rPr>
          <w:rFonts w:eastAsia="宋体"/>
          <w:b/>
          <w:bCs/>
          <w:snapToGrid w:val="0"/>
          <w:color w:val="000000" w:themeColor="text1"/>
          <w:sz w:val="24"/>
          <w14:textFill>
            <w14:solidFill>
              <w14:schemeClr w14:val="tx1"/>
            </w14:solidFill>
          </w14:textFill>
        </w:rPr>
      </w:pPr>
      <w:bookmarkStart w:id="65" w:name="_Toc12763"/>
      <w:r>
        <w:rPr>
          <w:rFonts w:eastAsia="宋体"/>
          <w:b/>
          <w:bCs/>
          <w:snapToGrid w:val="0"/>
          <w:color w:val="000000" w:themeColor="text1"/>
          <w:sz w:val="24"/>
          <w14:textFill>
            <w14:solidFill>
              <w14:schemeClr w14:val="tx1"/>
            </w14:solidFill>
          </w14:textFill>
        </w:rPr>
        <w:t>附件3检测报告</w:t>
      </w:r>
      <w:bookmarkEnd w:id="65"/>
    </w:p>
    <w:p w14:paraId="0E9D61E3">
      <w:pPr>
        <w:rPr>
          <w:rFonts w:eastAsia="宋体"/>
          <w:color w:val="000000" w:themeColor="text1"/>
          <w14:textFill>
            <w14:solidFill>
              <w14:schemeClr w14:val="tx1"/>
            </w14:solidFill>
          </w14:textFill>
        </w:rPr>
      </w:pPr>
      <w:bookmarkStart w:id="66" w:name="_Toc7113"/>
      <w:bookmarkStart w:id="67" w:name="_Toc18613"/>
      <w:bookmarkStart w:id="68" w:name="_Toc11870"/>
      <w:bookmarkStart w:id="69" w:name="_Toc14189"/>
      <w:bookmarkStart w:id="70" w:name="_Hlk97725506"/>
      <w:r>
        <w:drawing>
          <wp:inline distT="0" distB="0" distL="114300" distR="114300">
            <wp:extent cx="5600700" cy="7839075"/>
            <wp:effectExtent l="0" t="0" r="0" b="9525"/>
            <wp:docPr id="8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7"/>
                    <pic:cNvPicPr>
                      <a:picLocks noChangeAspect="1"/>
                    </pic:cNvPicPr>
                  </pic:nvPicPr>
                  <pic:blipFill>
                    <a:blip r:embed="rId56"/>
                    <a:stretch>
                      <a:fillRect/>
                    </a:stretch>
                  </pic:blipFill>
                  <pic:spPr>
                    <a:xfrm>
                      <a:off x="0" y="0"/>
                      <a:ext cx="5600700" cy="7839075"/>
                    </a:xfrm>
                    <a:prstGeom prst="rect">
                      <a:avLst/>
                    </a:prstGeom>
                    <a:noFill/>
                    <a:ln>
                      <a:noFill/>
                    </a:ln>
                  </pic:spPr>
                </pic:pic>
              </a:graphicData>
            </a:graphic>
          </wp:inline>
        </w:drawing>
      </w:r>
      <w:r>
        <w:drawing>
          <wp:inline distT="0" distB="0" distL="114300" distR="114300">
            <wp:extent cx="5610860" cy="7845425"/>
            <wp:effectExtent l="0" t="0" r="8890" b="3175"/>
            <wp:docPr id="8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8"/>
                    <pic:cNvPicPr>
                      <a:picLocks noChangeAspect="1"/>
                    </pic:cNvPicPr>
                  </pic:nvPicPr>
                  <pic:blipFill>
                    <a:blip r:embed="rId57"/>
                    <a:stretch>
                      <a:fillRect/>
                    </a:stretch>
                  </pic:blipFill>
                  <pic:spPr>
                    <a:xfrm>
                      <a:off x="0" y="0"/>
                      <a:ext cx="5610860" cy="7845425"/>
                    </a:xfrm>
                    <a:prstGeom prst="rect">
                      <a:avLst/>
                    </a:prstGeom>
                    <a:noFill/>
                    <a:ln>
                      <a:noFill/>
                    </a:ln>
                  </pic:spPr>
                </pic:pic>
              </a:graphicData>
            </a:graphic>
          </wp:inline>
        </w:drawing>
      </w:r>
      <w:r>
        <w:drawing>
          <wp:inline distT="0" distB="0" distL="114300" distR="114300">
            <wp:extent cx="5614670" cy="7790815"/>
            <wp:effectExtent l="0" t="0" r="5080" b="635"/>
            <wp:docPr id="8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9"/>
                    <pic:cNvPicPr>
                      <a:picLocks noChangeAspect="1"/>
                    </pic:cNvPicPr>
                  </pic:nvPicPr>
                  <pic:blipFill>
                    <a:blip r:embed="rId58"/>
                    <a:stretch>
                      <a:fillRect/>
                    </a:stretch>
                  </pic:blipFill>
                  <pic:spPr>
                    <a:xfrm>
                      <a:off x="0" y="0"/>
                      <a:ext cx="5614670" cy="7790815"/>
                    </a:xfrm>
                    <a:prstGeom prst="rect">
                      <a:avLst/>
                    </a:prstGeom>
                    <a:noFill/>
                    <a:ln>
                      <a:noFill/>
                    </a:ln>
                  </pic:spPr>
                </pic:pic>
              </a:graphicData>
            </a:graphic>
          </wp:inline>
        </w:drawing>
      </w:r>
      <w:r>
        <w:drawing>
          <wp:inline distT="0" distB="0" distL="114300" distR="114300">
            <wp:extent cx="5610860" cy="7779385"/>
            <wp:effectExtent l="0" t="0" r="8890" b="12065"/>
            <wp:docPr id="9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0"/>
                    <pic:cNvPicPr>
                      <a:picLocks noChangeAspect="1"/>
                    </pic:cNvPicPr>
                  </pic:nvPicPr>
                  <pic:blipFill>
                    <a:blip r:embed="rId59"/>
                    <a:stretch>
                      <a:fillRect/>
                    </a:stretch>
                  </pic:blipFill>
                  <pic:spPr>
                    <a:xfrm>
                      <a:off x="0" y="0"/>
                      <a:ext cx="5610860" cy="7779385"/>
                    </a:xfrm>
                    <a:prstGeom prst="rect">
                      <a:avLst/>
                    </a:prstGeom>
                    <a:noFill/>
                    <a:ln>
                      <a:noFill/>
                    </a:ln>
                  </pic:spPr>
                </pic:pic>
              </a:graphicData>
            </a:graphic>
          </wp:inline>
        </w:drawing>
      </w:r>
      <w:r>
        <w:rPr>
          <w:rFonts w:eastAsia="宋体"/>
          <w:color w:val="000000" w:themeColor="text1"/>
          <w14:textFill>
            <w14:solidFill>
              <w14:schemeClr w14:val="tx1"/>
            </w14:solidFill>
          </w14:textFill>
        </w:rPr>
        <w:br w:type="page"/>
      </w:r>
      <w:bookmarkEnd w:id="66"/>
      <w:bookmarkEnd w:id="67"/>
      <w:bookmarkEnd w:id="68"/>
      <w:bookmarkEnd w:id="69"/>
    </w:p>
    <w:p w14:paraId="170B38BE">
      <w:pPr>
        <w:pStyle w:val="28"/>
        <w:keepNext w:val="0"/>
        <w:keepLines w:val="0"/>
        <w:pageBreakBefore/>
        <w:widowControl/>
        <w:kinsoku/>
        <w:wordWrap/>
        <w:overflowPunct/>
        <w:topLinePunct w:val="0"/>
        <w:autoSpaceDE/>
        <w:autoSpaceDN/>
        <w:bidi w:val="0"/>
        <w:adjustRightInd w:val="0"/>
        <w:snapToGrid w:val="0"/>
        <w:spacing w:before="0" w:beforeAutospacing="0" w:after="0" w:afterAutospacing="0" w:line="500" w:lineRule="exact"/>
        <w:textAlignment w:val="auto"/>
        <w:outlineLvl w:val="0"/>
        <w:rPr>
          <w:rFonts w:ascii="Times New Roman" w:hAnsi="Times New Roman" w:eastAsia="宋体"/>
          <w:b/>
          <w:bCs/>
          <w:snapToGrid w:val="0"/>
          <w:color w:val="000000" w:themeColor="text1"/>
          <w:szCs w:val="24"/>
          <w14:textFill>
            <w14:solidFill>
              <w14:schemeClr w14:val="tx1"/>
            </w14:solidFill>
          </w14:textFill>
        </w:rPr>
      </w:pPr>
      <w:bookmarkStart w:id="71" w:name="_Toc13570"/>
      <w:r>
        <w:rPr>
          <w:rFonts w:ascii="Times New Roman" w:hAnsi="Times New Roman" w:eastAsia="宋体"/>
          <w:b/>
          <w:bCs/>
          <w:snapToGrid w:val="0"/>
          <w:color w:val="000000" w:themeColor="text1"/>
          <w:szCs w:val="24"/>
          <w14:textFill>
            <w14:solidFill>
              <w14:schemeClr w14:val="tx1"/>
            </w14:solidFill>
          </w14:textFill>
        </w:rPr>
        <w:t>附件</w:t>
      </w:r>
      <w:bookmarkEnd w:id="70"/>
      <w:r>
        <w:rPr>
          <w:rFonts w:ascii="Times New Roman" w:hAnsi="Times New Roman" w:eastAsia="宋体"/>
          <w:b/>
          <w:bCs/>
          <w:snapToGrid w:val="0"/>
          <w:color w:val="000000" w:themeColor="text1"/>
          <w:szCs w:val="24"/>
          <w14:textFill>
            <w14:solidFill>
              <w14:schemeClr w14:val="tx1"/>
            </w14:solidFill>
          </w14:textFill>
        </w:rPr>
        <w:t>4 总量计算说明</w:t>
      </w:r>
      <w:bookmarkEnd w:id="71"/>
    </w:p>
    <w:p w14:paraId="639A514C">
      <w:pPr>
        <w:pStyle w:val="62"/>
        <w:adjustRightInd w:val="0"/>
        <w:snapToGrid w:val="0"/>
        <w:spacing w:line="500" w:lineRule="exact"/>
        <w:ind w:firstLine="482" w:firstLineChars="200"/>
        <w:rPr>
          <w:rFonts w:eastAsia="宋体"/>
          <w:b/>
          <w:bCs/>
          <w:color w:val="000000" w:themeColor="text1"/>
          <w:sz w:val="24"/>
          <w14:textFill>
            <w14:solidFill>
              <w14:schemeClr w14:val="tx1"/>
            </w14:solidFill>
          </w14:textFill>
        </w:rPr>
      </w:pPr>
      <w:bookmarkStart w:id="72" w:name="_Toc31184"/>
      <w:bookmarkStart w:id="73" w:name="_Toc1003"/>
      <w:bookmarkStart w:id="74" w:name="_Toc19254"/>
      <w:bookmarkStart w:id="75" w:name="_Toc14269"/>
      <w:bookmarkStart w:id="76" w:name="_Toc29421"/>
      <w:bookmarkStart w:id="77" w:name="_Toc30679"/>
      <w:r>
        <w:rPr>
          <w:rFonts w:eastAsia="宋体"/>
          <w:b/>
          <w:bCs/>
          <w:color w:val="000000" w:themeColor="text1"/>
          <w:sz w:val="24"/>
          <w14:textFill>
            <w14:solidFill>
              <w14:schemeClr w14:val="tx1"/>
            </w14:solidFill>
          </w14:textFill>
        </w:rPr>
        <w:t>一、废气</w:t>
      </w:r>
      <w:bookmarkEnd w:id="72"/>
      <w:bookmarkEnd w:id="73"/>
      <w:bookmarkEnd w:id="74"/>
      <w:bookmarkEnd w:id="75"/>
      <w:bookmarkEnd w:id="76"/>
      <w:bookmarkEnd w:id="77"/>
    </w:p>
    <w:p w14:paraId="1E450455">
      <w:pPr>
        <w:pStyle w:val="62"/>
        <w:adjustRightInd w:val="0"/>
        <w:snapToGrid w:val="0"/>
        <w:spacing w:line="500" w:lineRule="exact"/>
        <w:ind w:firstLine="482" w:firstLineChars="200"/>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（1）加工车间有组织粉尘</w:t>
      </w:r>
    </w:p>
    <w:p w14:paraId="2F812088">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颗粒物产生量根据《排放源统计调查产排污核算方法和系数手册》（2021年第24号文）中2624复混肥料制造行业系数手册，混合法颗粒物产污系数8.40kg/t-产品。计算可知，本项目生产过程中粉尘产生量为16.8t/a。</w:t>
      </w:r>
    </w:p>
    <w:p w14:paraId="7B85FC05">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本项目在粉碎、进料口、筛分、包装工序设置收集效率为90%的集气罩，颗粒物被收集后由处理效率为99%的布袋除尘器处理后经15m高排气筒DA001排放，风量10000m</w:t>
      </w:r>
      <w:r>
        <w:rPr>
          <w:rFonts w:eastAsia="宋体"/>
          <w:color w:val="000000" w:themeColor="text1"/>
          <w:vertAlign w:val="superscript"/>
          <w14:textFill>
            <w14:solidFill>
              <w14:schemeClr w14:val="tx1"/>
            </w14:solidFill>
          </w14:textFill>
        </w:rPr>
        <w:t>3</w:t>
      </w:r>
      <w:r>
        <w:rPr>
          <w:rFonts w:eastAsia="宋体"/>
          <w:color w:val="000000" w:themeColor="text1"/>
          <w14:textFill>
            <w14:solidFill>
              <w14:schemeClr w14:val="tx1"/>
            </w14:solidFill>
          </w14:textFill>
        </w:rPr>
        <w:t>/h，处理后生产车间有组织颗粒物排放量为0.15t/a，排放浓度为8mg/m</w:t>
      </w:r>
      <w:r>
        <w:rPr>
          <w:rFonts w:eastAsia="宋体"/>
          <w:color w:val="000000" w:themeColor="text1"/>
          <w:vertAlign w:val="superscript"/>
          <w14:textFill>
            <w14:solidFill>
              <w14:schemeClr w14:val="tx1"/>
            </w14:solidFill>
          </w14:textFill>
        </w:rPr>
        <w:t>3</w:t>
      </w:r>
      <w:r>
        <w:rPr>
          <w:rFonts w:eastAsia="宋体"/>
          <w:color w:val="000000" w:themeColor="text1"/>
          <w14:textFill>
            <w14:solidFill>
              <w14:schemeClr w14:val="tx1"/>
            </w14:solidFill>
          </w14:textFill>
        </w:rPr>
        <w:t>，排放速率为0.08kg/h。</w:t>
      </w:r>
    </w:p>
    <w:p w14:paraId="01C6FCDA">
      <w:pPr>
        <w:pStyle w:val="78"/>
        <w:spacing w:line="500" w:lineRule="exact"/>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本项目未被集气罩收集的颗粒物以无组织形式进行排放，运营期无组织颗粒物产生量为1.68t/a，0.88kg/h。对未被收集的废气以无组织形式进行排放，车间厂房密闭，对废气阻隔率为90%，排放量为0.168t/a。</w:t>
      </w:r>
    </w:p>
    <w:p w14:paraId="56376E34">
      <w:pPr>
        <w:pStyle w:val="62"/>
        <w:adjustRightInd w:val="0"/>
        <w:snapToGrid w:val="0"/>
        <w:spacing w:line="500" w:lineRule="exact"/>
        <w:ind w:firstLine="0"/>
        <w:jc w:val="center"/>
        <w:rPr>
          <w:rFonts w:eastAsia="宋体"/>
          <w:b/>
          <w:bCs/>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表1污染物排放量统计表</w:t>
      </w:r>
    </w:p>
    <w:tbl>
      <w:tblPr>
        <w:tblStyle w:val="34"/>
        <w:tblW w:w="432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925"/>
        <w:gridCol w:w="3914"/>
      </w:tblGrid>
      <w:tr w14:paraId="6BB0A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503" w:type="pct"/>
            <w:vAlign w:val="center"/>
          </w:tcPr>
          <w:p w14:paraId="178A724F">
            <w:pPr>
              <w:pStyle w:val="31"/>
              <w:adjustRightInd w:val="0"/>
              <w:spacing w:after="0"/>
              <w:ind w:firstLine="0" w:firstLineChars="0"/>
              <w:jc w:val="center"/>
              <w:rPr>
                <w:rFonts w:eastAsia="宋体"/>
                <w:b/>
                <w:bCs/>
                <w:color w:val="000000" w:themeColor="text1"/>
                <w:sz w:val="24"/>
                <w:szCs w:val="24"/>
                <w14:textFill>
                  <w14:solidFill>
                    <w14:schemeClr w14:val="tx1"/>
                  </w14:solidFill>
                </w14:textFill>
              </w:rPr>
            </w:pPr>
            <w:r>
              <w:rPr>
                <w:rFonts w:eastAsia="宋体"/>
                <w:b/>
                <w:bCs/>
                <w:color w:val="000000" w:themeColor="text1"/>
                <w:sz w:val="24"/>
                <w:szCs w:val="24"/>
                <w14:textFill>
                  <w14:solidFill>
                    <w14:schemeClr w14:val="tx1"/>
                  </w14:solidFill>
                </w14:textFill>
              </w:rPr>
              <w:t>污染物</w:t>
            </w:r>
          </w:p>
        </w:tc>
        <w:tc>
          <w:tcPr>
            <w:tcW w:w="2496" w:type="pct"/>
            <w:vAlign w:val="center"/>
          </w:tcPr>
          <w:p w14:paraId="4E0960FE">
            <w:pPr>
              <w:pStyle w:val="31"/>
              <w:adjustRightInd w:val="0"/>
              <w:spacing w:after="0"/>
              <w:ind w:firstLine="0" w:firstLineChars="0"/>
              <w:jc w:val="center"/>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颗粒物</w:t>
            </w:r>
          </w:p>
        </w:tc>
      </w:tr>
      <w:tr w14:paraId="3EAB07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503" w:type="pct"/>
            <w:vAlign w:val="center"/>
          </w:tcPr>
          <w:p w14:paraId="50BE9854">
            <w:pPr>
              <w:pStyle w:val="31"/>
              <w:adjustRightInd w:val="0"/>
              <w:spacing w:after="0"/>
              <w:ind w:firstLine="0" w:firstLineChars="0"/>
              <w:jc w:val="center"/>
              <w:rPr>
                <w:rFonts w:eastAsia="宋体"/>
                <w:b/>
                <w:bCs/>
                <w:color w:val="000000" w:themeColor="text1"/>
                <w:sz w:val="24"/>
                <w:szCs w:val="24"/>
                <w14:textFill>
                  <w14:solidFill>
                    <w14:schemeClr w14:val="tx1"/>
                  </w14:solidFill>
                </w14:textFill>
              </w:rPr>
            </w:pPr>
            <w:r>
              <w:rPr>
                <w:rFonts w:eastAsia="宋体"/>
                <w:b/>
                <w:bCs/>
                <w:color w:val="000000" w:themeColor="text1"/>
                <w:sz w:val="24"/>
                <w:szCs w:val="24"/>
                <w14:textFill>
                  <w14:solidFill>
                    <w14:schemeClr w14:val="tx1"/>
                  </w14:solidFill>
                </w14:textFill>
              </w:rPr>
              <w:t>排放量</w:t>
            </w:r>
          </w:p>
        </w:tc>
        <w:tc>
          <w:tcPr>
            <w:tcW w:w="2496" w:type="pct"/>
            <w:vAlign w:val="center"/>
          </w:tcPr>
          <w:p w14:paraId="1E77FE6B">
            <w:pPr>
              <w:pStyle w:val="31"/>
              <w:adjustRightInd w:val="0"/>
              <w:spacing w:after="0"/>
              <w:ind w:firstLine="0" w:firstLineChars="0"/>
              <w:jc w:val="center"/>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0.15t/a</w:t>
            </w:r>
          </w:p>
        </w:tc>
      </w:tr>
    </w:tbl>
    <w:p w14:paraId="051BD4CE">
      <w:pPr>
        <w:rPr>
          <w:rFonts w:eastAsia="宋体"/>
          <w:color w:val="000000" w:themeColor="text1"/>
          <w14:textFill>
            <w14:solidFill>
              <w14:schemeClr w14:val="tx1"/>
            </w14:solidFill>
          </w14:textFill>
        </w:rPr>
      </w:pPr>
      <w:r>
        <w:rPr>
          <w:rFonts w:eastAsia="宋体"/>
          <w:snapToGrid w:val="0"/>
          <w:color w:val="000000" w:themeColor="text1"/>
          <w:sz w:val="32"/>
          <w:szCs w:val="32"/>
          <w14:textFill>
            <w14:solidFill>
              <w14:schemeClr w14:val="tx1"/>
            </w14:solidFill>
          </w14:textFill>
        </w:rPr>
        <w:br w:type="page"/>
      </w:r>
    </w:p>
    <w:p w14:paraId="6B59818F">
      <w:pPr>
        <w:pStyle w:val="28"/>
        <w:adjustRightInd w:val="0"/>
        <w:snapToGrid w:val="0"/>
        <w:spacing w:before="0" w:beforeAutospacing="0" w:after="0" w:afterAutospacing="0" w:line="500" w:lineRule="exact"/>
        <w:outlineLvl w:val="0"/>
        <w:rPr>
          <w:rFonts w:ascii="Times New Roman" w:hAnsi="Times New Roman" w:eastAsia="宋体"/>
          <w:bCs/>
          <w:color w:val="000000" w:themeColor="text1"/>
          <w:sz w:val="28"/>
          <w:szCs w:val="28"/>
          <w14:textFill>
            <w14:solidFill>
              <w14:schemeClr w14:val="tx1"/>
            </w14:solidFill>
          </w14:textFill>
        </w:rPr>
      </w:pPr>
      <w:bookmarkStart w:id="78" w:name="_Toc30631"/>
      <w:r>
        <w:rPr>
          <w:rFonts w:ascii="Times New Roman" w:hAnsi="Times New Roman" w:eastAsia="宋体"/>
          <w:b/>
          <w:bCs/>
          <w:color w:val="000000" w:themeColor="text1"/>
          <w:szCs w:val="24"/>
          <w14:textFill>
            <w14:solidFill>
              <w14:schemeClr w14:val="tx1"/>
            </w14:solidFill>
          </w14:textFill>
        </w:rPr>
        <w:t>附件5 黑龙江省生态环境分区管控数据应用平台分析报告</w:t>
      </w:r>
      <w:bookmarkEnd w:id="78"/>
    </w:p>
    <w:p w14:paraId="5FB6E23D">
      <w:pPr>
        <w:rPr>
          <w:rFonts w:eastAsia="宋体"/>
          <w:color w:val="000000" w:themeColor="text1"/>
          <w14:textFill>
            <w14:solidFill>
              <w14:schemeClr w14:val="tx1"/>
            </w14:solidFill>
          </w14:textFill>
        </w:rPr>
      </w:pPr>
    </w:p>
    <w:p w14:paraId="006A345F">
      <w:pPr>
        <w:rPr>
          <w:rFonts w:eastAsia="宋体"/>
          <w:color w:val="000000" w:themeColor="text1"/>
          <w14:textFill>
            <w14:solidFill>
              <w14:schemeClr w14:val="tx1"/>
            </w14:solidFill>
          </w14:textFill>
        </w:rPr>
      </w:pPr>
      <w:bookmarkStart w:id="79" w:name="_Toc192084901"/>
      <w:r>
        <w:drawing>
          <wp:inline distT="0" distB="0" distL="114300" distR="114300">
            <wp:extent cx="5614035" cy="3967480"/>
            <wp:effectExtent l="0" t="0" r="5715" b="13970"/>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60"/>
                    <a:stretch>
                      <a:fillRect/>
                    </a:stretch>
                  </pic:blipFill>
                  <pic:spPr>
                    <a:xfrm>
                      <a:off x="0" y="0"/>
                      <a:ext cx="5614035" cy="3967480"/>
                    </a:xfrm>
                    <a:prstGeom prst="rect">
                      <a:avLst/>
                    </a:prstGeom>
                    <a:noFill/>
                    <a:ln>
                      <a:noFill/>
                    </a:ln>
                  </pic:spPr>
                </pic:pic>
              </a:graphicData>
            </a:graphic>
          </wp:inline>
        </w:drawing>
      </w:r>
      <w:r>
        <w:drawing>
          <wp:inline distT="0" distB="0" distL="114300" distR="114300">
            <wp:extent cx="5610225" cy="3978275"/>
            <wp:effectExtent l="0" t="0" r="9525" b="3175"/>
            <wp:docPr id="5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4"/>
                    <pic:cNvPicPr>
                      <a:picLocks noChangeAspect="1"/>
                    </pic:cNvPicPr>
                  </pic:nvPicPr>
                  <pic:blipFill>
                    <a:blip r:embed="rId61"/>
                    <a:stretch>
                      <a:fillRect/>
                    </a:stretch>
                  </pic:blipFill>
                  <pic:spPr>
                    <a:xfrm>
                      <a:off x="0" y="0"/>
                      <a:ext cx="5610225" cy="3978275"/>
                    </a:xfrm>
                    <a:prstGeom prst="rect">
                      <a:avLst/>
                    </a:prstGeom>
                    <a:noFill/>
                    <a:ln>
                      <a:noFill/>
                    </a:ln>
                  </pic:spPr>
                </pic:pic>
              </a:graphicData>
            </a:graphic>
          </wp:inline>
        </w:drawing>
      </w:r>
      <w:r>
        <w:drawing>
          <wp:inline distT="0" distB="0" distL="114300" distR="114300">
            <wp:extent cx="5614035" cy="3940810"/>
            <wp:effectExtent l="0" t="0" r="5715" b="2540"/>
            <wp:docPr id="6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5"/>
                    <pic:cNvPicPr>
                      <a:picLocks noChangeAspect="1"/>
                    </pic:cNvPicPr>
                  </pic:nvPicPr>
                  <pic:blipFill>
                    <a:blip r:embed="rId62"/>
                    <a:stretch>
                      <a:fillRect/>
                    </a:stretch>
                  </pic:blipFill>
                  <pic:spPr>
                    <a:xfrm>
                      <a:off x="0" y="0"/>
                      <a:ext cx="5614035" cy="3940810"/>
                    </a:xfrm>
                    <a:prstGeom prst="rect">
                      <a:avLst/>
                    </a:prstGeom>
                    <a:noFill/>
                    <a:ln>
                      <a:noFill/>
                    </a:ln>
                  </pic:spPr>
                </pic:pic>
              </a:graphicData>
            </a:graphic>
          </wp:inline>
        </w:drawing>
      </w:r>
      <w:r>
        <w:drawing>
          <wp:inline distT="0" distB="0" distL="114300" distR="114300">
            <wp:extent cx="5615305" cy="3926205"/>
            <wp:effectExtent l="0" t="0" r="4445" b="17145"/>
            <wp:docPr id="6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6"/>
                    <pic:cNvPicPr>
                      <a:picLocks noChangeAspect="1"/>
                    </pic:cNvPicPr>
                  </pic:nvPicPr>
                  <pic:blipFill>
                    <a:blip r:embed="rId63"/>
                    <a:stretch>
                      <a:fillRect/>
                    </a:stretch>
                  </pic:blipFill>
                  <pic:spPr>
                    <a:xfrm>
                      <a:off x="0" y="0"/>
                      <a:ext cx="5615305" cy="3926205"/>
                    </a:xfrm>
                    <a:prstGeom prst="rect">
                      <a:avLst/>
                    </a:prstGeom>
                    <a:noFill/>
                    <a:ln>
                      <a:noFill/>
                    </a:ln>
                  </pic:spPr>
                </pic:pic>
              </a:graphicData>
            </a:graphic>
          </wp:inline>
        </w:drawing>
      </w:r>
      <w:r>
        <w:drawing>
          <wp:inline distT="0" distB="0" distL="114300" distR="114300">
            <wp:extent cx="5608955" cy="3992880"/>
            <wp:effectExtent l="0" t="0" r="10795" b="7620"/>
            <wp:docPr id="6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7"/>
                    <pic:cNvPicPr>
                      <a:picLocks noChangeAspect="1"/>
                    </pic:cNvPicPr>
                  </pic:nvPicPr>
                  <pic:blipFill>
                    <a:blip r:embed="rId64"/>
                    <a:stretch>
                      <a:fillRect/>
                    </a:stretch>
                  </pic:blipFill>
                  <pic:spPr>
                    <a:xfrm>
                      <a:off x="0" y="0"/>
                      <a:ext cx="5608955" cy="3992880"/>
                    </a:xfrm>
                    <a:prstGeom prst="rect">
                      <a:avLst/>
                    </a:prstGeom>
                    <a:noFill/>
                    <a:ln>
                      <a:noFill/>
                    </a:ln>
                  </pic:spPr>
                </pic:pic>
              </a:graphicData>
            </a:graphic>
          </wp:inline>
        </w:drawing>
      </w:r>
      <w:r>
        <w:drawing>
          <wp:inline distT="0" distB="0" distL="114300" distR="114300">
            <wp:extent cx="5612765" cy="3948430"/>
            <wp:effectExtent l="0" t="0" r="6985" b="13970"/>
            <wp:docPr id="7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8"/>
                    <pic:cNvPicPr>
                      <a:picLocks noChangeAspect="1"/>
                    </pic:cNvPicPr>
                  </pic:nvPicPr>
                  <pic:blipFill>
                    <a:blip r:embed="rId65"/>
                    <a:stretch>
                      <a:fillRect/>
                    </a:stretch>
                  </pic:blipFill>
                  <pic:spPr>
                    <a:xfrm>
                      <a:off x="0" y="0"/>
                      <a:ext cx="5612765" cy="3948430"/>
                    </a:xfrm>
                    <a:prstGeom prst="rect">
                      <a:avLst/>
                    </a:prstGeom>
                    <a:noFill/>
                    <a:ln>
                      <a:noFill/>
                    </a:ln>
                  </pic:spPr>
                </pic:pic>
              </a:graphicData>
            </a:graphic>
          </wp:inline>
        </w:drawing>
      </w:r>
      <w:r>
        <w:drawing>
          <wp:inline distT="0" distB="0" distL="114300" distR="114300">
            <wp:extent cx="5608955" cy="3799205"/>
            <wp:effectExtent l="0" t="0" r="10795" b="10795"/>
            <wp:docPr id="7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9"/>
                    <pic:cNvPicPr>
                      <a:picLocks noChangeAspect="1"/>
                    </pic:cNvPicPr>
                  </pic:nvPicPr>
                  <pic:blipFill>
                    <a:blip r:embed="rId66"/>
                    <a:stretch>
                      <a:fillRect/>
                    </a:stretch>
                  </pic:blipFill>
                  <pic:spPr>
                    <a:xfrm>
                      <a:off x="0" y="0"/>
                      <a:ext cx="5608955" cy="3799205"/>
                    </a:xfrm>
                    <a:prstGeom prst="rect">
                      <a:avLst/>
                    </a:prstGeom>
                    <a:noFill/>
                    <a:ln>
                      <a:noFill/>
                    </a:ln>
                  </pic:spPr>
                </pic:pic>
              </a:graphicData>
            </a:graphic>
          </wp:inline>
        </w:drawing>
      </w:r>
      <w:r>
        <w:drawing>
          <wp:inline distT="0" distB="0" distL="114300" distR="114300">
            <wp:extent cx="5612765" cy="3941445"/>
            <wp:effectExtent l="0" t="0" r="6985" b="1905"/>
            <wp:docPr id="7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0"/>
                    <pic:cNvPicPr>
                      <a:picLocks noChangeAspect="1"/>
                    </pic:cNvPicPr>
                  </pic:nvPicPr>
                  <pic:blipFill>
                    <a:blip r:embed="rId67"/>
                    <a:stretch>
                      <a:fillRect/>
                    </a:stretch>
                  </pic:blipFill>
                  <pic:spPr>
                    <a:xfrm>
                      <a:off x="0" y="0"/>
                      <a:ext cx="5612765" cy="3941445"/>
                    </a:xfrm>
                    <a:prstGeom prst="rect">
                      <a:avLst/>
                    </a:prstGeom>
                    <a:noFill/>
                    <a:ln>
                      <a:noFill/>
                    </a:ln>
                  </pic:spPr>
                </pic:pic>
              </a:graphicData>
            </a:graphic>
          </wp:inline>
        </w:drawing>
      </w:r>
      <w:r>
        <w:drawing>
          <wp:inline distT="0" distB="0" distL="114300" distR="114300">
            <wp:extent cx="5615305" cy="3959225"/>
            <wp:effectExtent l="0" t="0" r="4445" b="3175"/>
            <wp:docPr id="8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1"/>
                    <pic:cNvPicPr>
                      <a:picLocks noChangeAspect="1"/>
                    </pic:cNvPicPr>
                  </pic:nvPicPr>
                  <pic:blipFill>
                    <a:blip r:embed="rId68"/>
                    <a:stretch>
                      <a:fillRect/>
                    </a:stretch>
                  </pic:blipFill>
                  <pic:spPr>
                    <a:xfrm>
                      <a:off x="0" y="0"/>
                      <a:ext cx="5615305" cy="3959225"/>
                    </a:xfrm>
                    <a:prstGeom prst="rect">
                      <a:avLst/>
                    </a:prstGeom>
                    <a:noFill/>
                    <a:ln>
                      <a:noFill/>
                    </a:ln>
                  </pic:spPr>
                </pic:pic>
              </a:graphicData>
            </a:graphic>
          </wp:inline>
        </w:drawing>
      </w:r>
      <w:r>
        <w:drawing>
          <wp:inline distT="0" distB="0" distL="114300" distR="114300">
            <wp:extent cx="5609590" cy="3943350"/>
            <wp:effectExtent l="0" t="0" r="10160" b="0"/>
            <wp:docPr id="8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2"/>
                    <pic:cNvPicPr>
                      <a:picLocks noChangeAspect="1"/>
                    </pic:cNvPicPr>
                  </pic:nvPicPr>
                  <pic:blipFill>
                    <a:blip r:embed="rId69"/>
                    <a:stretch>
                      <a:fillRect/>
                    </a:stretch>
                  </pic:blipFill>
                  <pic:spPr>
                    <a:xfrm>
                      <a:off x="0" y="0"/>
                      <a:ext cx="5609590" cy="3943350"/>
                    </a:xfrm>
                    <a:prstGeom prst="rect">
                      <a:avLst/>
                    </a:prstGeom>
                    <a:noFill/>
                    <a:ln>
                      <a:noFill/>
                    </a:ln>
                  </pic:spPr>
                </pic:pic>
              </a:graphicData>
            </a:graphic>
          </wp:inline>
        </w:drawing>
      </w:r>
      <w:r>
        <w:drawing>
          <wp:inline distT="0" distB="0" distL="114300" distR="114300">
            <wp:extent cx="5610225" cy="3951605"/>
            <wp:effectExtent l="0" t="0" r="9525" b="10795"/>
            <wp:docPr id="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3"/>
                    <pic:cNvPicPr>
                      <a:picLocks noChangeAspect="1"/>
                    </pic:cNvPicPr>
                  </pic:nvPicPr>
                  <pic:blipFill>
                    <a:blip r:embed="rId70"/>
                    <a:stretch>
                      <a:fillRect/>
                    </a:stretch>
                  </pic:blipFill>
                  <pic:spPr>
                    <a:xfrm>
                      <a:off x="0" y="0"/>
                      <a:ext cx="5610225" cy="3951605"/>
                    </a:xfrm>
                    <a:prstGeom prst="rect">
                      <a:avLst/>
                    </a:prstGeom>
                    <a:noFill/>
                    <a:ln>
                      <a:noFill/>
                    </a:ln>
                  </pic:spPr>
                </pic:pic>
              </a:graphicData>
            </a:graphic>
          </wp:inline>
        </w:drawing>
      </w:r>
      <w:r>
        <w:drawing>
          <wp:inline distT="0" distB="0" distL="114300" distR="114300">
            <wp:extent cx="5609590" cy="3930015"/>
            <wp:effectExtent l="0" t="0" r="10160" b="13335"/>
            <wp:docPr id="8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4"/>
                    <pic:cNvPicPr>
                      <a:picLocks noChangeAspect="1"/>
                    </pic:cNvPicPr>
                  </pic:nvPicPr>
                  <pic:blipFill>
                    <a:blip r:embed="rId71"/>
                    <a:stretch>
                      <a:fillRect/>
                    </a:stretch>
                  </pic:blipFill>
                  <pic:spPr>
                    <a:xfrm>
                      <a:off x="0" y="0"/>
                      <a:ext cx="5609590" cy="3930015"/>
                    </a:xfrm>
                    <a:prstGeom prst="rect">
                      <a:avLst/>
                    </a:prstGeom>
                    <a:noFill/>
                    <a:ln>
                      <a:noFill/>
                    </a:ln>
                  </pic:spPr>
                </pic:pic>
              </a:graphicData>
            </a:graphic>
          </wp:inline>
        </w:drawing>
      </w:r>
    </w:p>
    <w:p w14:paraId="636AFF98">
      <w:pPr>
        <w:rPr>
          <w:rFonts w:eastAsia="宋体"/>
          <w:color w:val="000000" w:themeColor="text1"/>
          <w14:textFill>
            <w14:solidFill>
              <w14:schemeClr w14:val="tx1"/>
            </w14:solidFill>
          </w14:textFill>
        </w:rPr>
      </w:pPr>
    </w:p>
    <w:p w14:paraId="6E5B4D16">
      <w:pPr>
        <w:rPr>
          <w:rFonts w:eastAsia="宋体"/>
          <w:color w:val="000000" w:themeColor="text1"/>
          <w14:textFill>
            <w14:solidFill>
              <w14:schemeClr w14:val="tx1"/>
            </w14:solidFill>
          </w14:textFill>
        </w:rPr>
        <w:sectPr>
          <w:pgSz w:w="11906" w:h="16838"/>
          <w:pgMar w:top="1701" w:right="1531" w:bottom="1701" w:left="1531" w:header="851" w:footer="851" w:gutter="0"/>
          <w:cols w:space="720" w:num="1"/>
          <w:docGrid w:linePitch="312" w:charSpace="0"/>
        </w:sectPr>
      </w:pPr>
    </w:p>
    <w:p w14:paraId="501431B1">
      <w:pPr>
        <w:pageBreakBefore/>
        <w:outlineLvl w:val="0"/>
        <w:rPr>
          <w:rFonts w:hint="default" w:eastAsia="宋体"/>
          <w:b/>
          <w:bCs/>
          <w:color w:val="000000" w:themeColor="text1"/>
          <w:kern w:val="0"/>
          <w:sz w:val="24"/>
          <w:lang w:val="en-US"/>
          <w14:textFill>
            <w14:solidFill>
              <w14:schemeClr w14:val="tx1"/>
            </w14:solidFill>
          </w14:textFill>
        </w:rPr>
      </w:pPr>
      <w:bookmarkStart w:id="80" w:name="_Toc22551"/>
      <w:r>
        <w:rPr>
          <w:rFonts w:eastAsia="宋体"/>
          <w:b/>
          <w:bCs/>
          <w:color w:val="000000" w:themeColor="text1"/>
          <w:kern w:val="0"/>
          <w:sz w:val="24"/>
          <w14:textFill>
            <w14:solidFill>
              <w14:schemeClr w14:val="tx1"/>
            </w14:solidFill>
          </w14:textFill>
        </w:rPr>
        <w:t>附件</w:t>
      </w:r>
      <w:r>
        <w:rPr>
          <w:rFonts w:hint="eastAsia" w:eastAsia="宋体"/>
          <w:b/>
          <w:bCs/>
          <w:color w:val="000000" w:themeColor="text1"/>
          <w:kern w:val="0"/>
          <w:sz w:val="24"/>
          <w:lang w:val="en-US" w:eastAsia="zh-CN"/>
          <w14:textFill>
            <w14:solidFill>
              <w14:schemeClr w14:val="tx1"/>
            </w14:solidFill>
          </w14:textFill>
        </w:rPr>
        <w:t>6证明</w:t>
      </w:r>
      <w:bookmarkEnd w:id="80"/>
    </w:p>
    <w:p w14:paraId="4C81773A">
      <w:pPr>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drawing>
          <wp:inline distT="0" distB="0" distL="114300" distR="114300">
            <wp:extent cx="5608320" cy="8018145"/>
            <wp:effectExtent l="0" t="0" r="11430" b="1905"/>
            <wp:docPr id="8" name="图片 8" descr="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证明"/>
                    <pic:cNvPicPr>
                      <a:picLocks noChangeAspect="1"/>
                    </pic:cNvPicPr>
                  </pic:nvPicPr>
                  <pic:blipFill>
                    <a:blip r:embed="rId72"/>
                    <a:stretch>
                      <a:fillRect/>
                    </a:stretch>
                  </pic:blipFill>
                  <pic:spPr>
                    <a:xfrm>
                      <a:off x="0" y="0"/>
                      <a:ext cx="5608320" cy="8018145"/>
                    </a:xfrm>
                    <a:prstGeom prst="rect">
                      <a:avLst/>
                    </a:prstGeom>
                  </pic:spPr>
                </pic:pic>
              </a:graphicData>
            </a:graphic>
          </wp:inline>
        </w:drawing>
      </w:r>
    </w:p>
    <w:p w14:paraId="6D346BDE">
      <w:pPr>
        <w:pageBreakBefore/>
        <w:outlineLvl w:val="0"/>
        <w:rPr>
          <w:rFonts w:eastAsia="宋体"/>
          <w:b/>
          <w:bCs/>
          <w:color w:val="000000" w:themeColor="text1"/>
          <w:kern w:val="0"/>
          <w:sz w:val="24"/>
          <w14:textFill>
            <w14:solidFill>
              <w14:schemeClr w14:val="tx1"/>
            </w14:solidFill>
          </w14:textFill>
        </w:rPr>
      </w:pPr>
      <w:bookmarkStart w:id="81" w:name="_Toc22430"/>
      <w:r>
        <w:rPr>
          <w:rFonts w:eastAsia="宋体"/>
          <w:b/>
          <w:bCs/>
          <w:color w:val="000000" w:themeColor="text1"/>
          <w:kern w:val="0"/>
          <w:sz w:val="24"/>
          <w14:textFill>
            <w14:solidFill>
              <w14:schemeClr w14:val="tx1"/>
            </w14:solidFill>
          </w14:textFill>
        </w:rPr>
        <w:t>附件</w:t>
      </w:r>
      <w:r>
        <w:rPr>
          <w:rFonts w:hint="eastAsia" w:eastAsia="宋体"/>
          <w:b/>
          <w:bCs/>
          <w:color w:val="000000" w:themeColor="text1"/>
          <w:kern w:val="0"/>
          <w:sz w:val="24"/>
          <w:lang w:val="en-US" w:eastAsia="zh-CN"/>
          <w14:textFill>
            <w14:solidFill>
              <w14:schemeClr w14:val="tx1"/>
            </w14:solidFill>
          </w14:textFill>
        </w:rPr>
        <w:t>7</w:t>
      </w:r>
      <w:r>
        <w:rPr>
          <w:rFonts w:eastAsia="宋体"/>
          <w:b/>
          <w:bCs/>
          <w:color w:val="000000" w:themeColor="text1"/>
          <w:kern w:val="0"/>
          <w:sz w:val="24"/>
          <w14:textFill>
            <w14:solidFill>
              <w14:schemeClr w14:val="tx1"/>
            </w14:solidFill>
          </w14:textFill>
        </w:rPr>
        <w:t>环境风险专项评价报告</w:t>
      </w:r>
      <w:bookmarkEnd w:id="79"/>
      <w:bookmarkEnd w:id="81"/>
    </w:p>
    <w:p w14:paraId="28C8035A">
      <w:pPr>
        <w:rPr>
          <w:rFonts w:eastAsia="宋体"/>
          <w:color w:val="000000" w:themeColor="text1"/>
          <w14:textFill>
            <w14:solidFill>
              <w14:schemeClr w14:val="tx1"/>
            </w14:solidFill>
          </w14:textFill>
        </w:rPr>
      </w:pPr>
    </w:p>
    <w:p w14:paraId="6478DBF9">
      <w:pPr>
        <w:pStyle w:val="31"/>
        <w:ind w:firstLine="0" w:firstLineChars="0"/>
        <w:rPr>
          <w:rFonts w:eastAsia="宋体"/>
          <w:color w:val="000000" w:themeColor="text1"/>
          <w14:textFill>
            <w14:solidFill>
              <w14:schemeClr w14:val="tx1"/>
            </w14:solidFill>
          </w14:textFill>
        </w:rPr>
      </w:pPr>
    </w:p>
    <w:p w14:paraId="4F391F30">
      <w:pPr>
        <w:pStyle w:val="31"/>
        <w:ind w:firstLine="0" w:firstLineChars="0"/>
        <w:rPr>
          <w:rFonts w:eastAsia="宋体"/>
          <w:color w:val="000000" w:themeColor="text1"/>
          <w14:textFill>
            <w14:solidFill>
              <w14:schemeClr w14:val="tx1"/>
            </w14:solidFill>
          </w14:textFill>
        </w:rPr>
      </w:pPr>
    </w:p>
    <w:p w14:paraId="283FEC9A">
      <w:pPr>
        <w:pStyle w:val="31"/>
        <w:ind w:firstLine="0" w:firstLineChars="0"/>
        <w:rPr>
          <w:rFonts w:eastAsia="宋体"/>
          <w:color w:val="000000" w:themeColor="text1"/>
          <w14:textFill>
            <w14:solidFill>
              <w14:schemeClr w14:val="tx1"/>
            </w14:solidFill>
          </w14:textFill>
        </w:rPr>
      </w:pPr>
    </w:p>
    <w:p w14:paraId="5C1AAAFB">
      <w:pPr>
        <w:pStyle w:val="31"/>
        <w:ind w:firstLine="0" w:firstLineChars="0"/>
        <w:rPr>
          <w:rFonts w:eastAsia="宋体"/>
          <w:color w:val="000000" w:themeColor="text1"/>
          <w14:textFill>
            <w14:solidFill>
              <w14:schemeClr w14:val="tx1"/>
            </w14:solidFill>
          </w14:textFill>
        </w:rPr>
      </w:pPr>
    </w:p>
    <w:p w14:paraId="30769F05">
      <w:pPr>
        <w:pStyle w:val="31"/>
        <w:ind w:firstLine="0" w:firstLineChars="0"/>
        <w:rPr>
          <w:rFonts w:eastAsia="宋体"/>
          <w:color w:val="000000" w:themeColor="text1"/>
          <w14:textFill>
            <w14:solidFill>
              <w14:schemeClr w14:val="tx1"/>
            </w14:solidFill>
          </w14:textFill>
        </w:rPr>
      </w:pPr>
    </w:p>
    <w:p w14:paraId="7D990EBC">
      <w:pPr>
        <w:pStyle w:val="31"/>
        <w:ind w:firstLine="0" w:firstLineChars="0"/>
        <w:rPr>
          <w:rFonts w:eastAsia="宋体"/>
          <w:color w:val="000000" w:themeColor="text1"/>
          <w14:textFill>
            <w14:solidFill>
              <w14:schemeClr w14:val="tx1"/>
            </w14:solidFill>
          </w14:textFill>
        </w:rPr>
      </w:pPr>
    </w:p>
    <w:p w14:paraId="61FEE3A7">
      <w:pPr>
        <w:pStyle w:val="31"/>
        <w:ind w:firstLine="0" w:firstLineChars="0"/>
        <w:rPr>
          <w:rFonts w:eastAsia="宋体"/>
          <w:color w:val="000000" w:themeColor="text1"/>
          <w14:textFill>
            <w14:solidFill>
              <w14:schemeClr w14:val="tx1"/>
            </w14:solidFill>
          </w14:textFill>
        </w:rPr>
      </w:pPr>
    </w:p>
    <w:p w14:paraId="08F61F10">
      <w:pPr>
        <w:pStyle w:val="31"/>
        <w:ind w:firstLine="0" w:firstLineChars="0"/>
        <w:rPr>
          <w:rFonts w:eastAsia="宋体"/>
          <w:color w:val="000000" w:themeColor="text1"/>
          <w14:textFill>
            <w14:solidFill>
              <w14:schemeClr w14:val="tx1"/>
            </w14:solidFill>
          </w14:textFill>
        </w:rPr>
      </w:pPr>
    </w:p>
    <w:p w14:paraId="37B53103">
      <w:pPr>
        <w:pStyle w:val="183"/>
        <w:spacing w:line="240" w:lineRule="auto"/>
        <w:outlineLvl w:val="9"/>
        <w:rPr>
          <w:rFonts w:ascii="Times New Roman" w:hAnsi="Times New Roman" w:eastAsia="宋体"/>
          <w:b/>
          <w:color w:val="000000" w:themeColor="text1"/>
          <w:sz w:val="52"/>
          <w14:textFill>
            <w14:solidFill>
              <w14:schemeClr w14:val="tx1"/>
            </w14:solidFill>
          </w14:textFill>
        </w:rPr>
      </w:pPr>
      <w:r>
        <w:rPr>
          <w:rFonts w:ascii="Times New Roman" w:hAnsi="Times New Roman" w:eastAsia="宋体"/>
          <w:b/>
          <w:color w:val="000000" w:themeColor="text1"/>
          <w:sz w:val="52"/>
          <w14:textFill>
            <w14:solidFill>
              <w14:schemeClr w14:val="tx1"/>
            </w14:solidFill>
          </w14:textFill>
        </w:rPr>
        <w:t>黑龙江省沃科丰农业科技有限公司</w:t>
      </w:r>
    </w:p>
    <w:p w14:paraId="221F2A29">
      <w:pPr>
        <w:pStyle w:val="183"/>
        <w:spacing w:line="240" w:lineRule="auto"/>
        <w:outlineLvl w:val="9"/>
        <w:rPr>
          <w:rFonts w:ascii="Times New Roman" w:hAnsi="Times New Roman" w:eastAsia="宋体"/>
          <w:b/>
          <w:color w:val="000000" w:themeColor="text1"/>
          <w:sz w:val="44"/>
          <w14:textFill>
            <w14:solidFill>
              <w14:schemeClr w14:val="tx1"/>
            </w14:solidFill>
          </w14:textFill>
        </w:rPr>
      </w:pPr>
      <w:r>
        <w:rPr>
          <w:rFonts w:ascii="Times New Roman" w:hAnsi="Times New Roman" w:eastAsia="宋体"/>
          <w:b/>
          <w:color w:val="000000" w:themeColor="text1"/>
          <w:sz w:val="52"/>
          <w14:textFill>
            <w14:solidFill>
              <w14:schemeClr w14:val="tx1"/>
            </w14:solidFill>
          </w14:textFill>
        </w:rPr>
        <w:t>建设项目</w:t>
      </w:r>
    </w:p>
    <w:p w14:paraId="7A2C987E">
      <w:pPr>
        <w:pStyle w:val="183"/>
        <w:outlineLvl w:val="9"/>
        <w:rPr>
          <w:rFonts w:ascii="Times New Roman" w:hAnsi="Times New Roman" w:eastAsia="宋体"/>
          <w:color w:val="000000" w:themeColor="text1"/>
          <w14:textFill>
            <w14:solidFill>
              <w14:schemeClr w14:val="tx1"/>
            </w14:solidFill>
          </w14:textFill>
        </w:rPr>
      </w:pPr>
    </w:p>
    <w:p w14:paraId="60C30F32">
      <w:pPr>
        <w:pStyle w:val="183"/>
        <w:outlineLvl w:val="9"/>
        <w:rPr>
          <w:rFonts w:ascii="Times New Roman" w:hAnsi="Times New Roman" w:eastAsia="宋体"/>
          <w:color w:val="000000" w:themeColor="text1"/>
          <w14:textFill>
            <w14:solidFill>
              <w14:schemeClr w14:val="tx1"/>
            </w14:solidFill>
          </w14:textFill>
        </w:rPr>
      </w:pPr>
    </w:p>
    <w:p w14:paraId="3D5544D1">
      <w:pPr>
        <w:pStyle w:val="183"/>
        <w:outlineLvl w:val="9"/>
        <w:rPr>
          <w:rFonts w:ascii="Times New Roman" w:hAnsi="Times New Roman" w:eastAsia="宋体"/>
          <w:color w:val="000000" w:themeColor="text1"/>
          <w14:textFill>
            <w14:solidFill>
              <w14:schemeClr w14:val="tx1"/>
            </w14:solidFill>
          </w14:textFill>
        </w:rPr>
      </w:pPr>
    </w:p>
    <w:p w14:paraId="5EF6C90F">
      <w:pPr>
        <w:pStyle w:val="183"/>
        <w:outlineLvl w:val="9"/>
        <w:rPr>
          <w:rFonts w:ascii="Times New Roman" w:hAnsi="Times New Roman" w:eastAsia="宋体"/>
          <w:color w:val="000000" w:themeColor="text1"/>
          <w14:textFill>
            <w14:solidFill>
              <w14:schemeClr w14:val="tx1"/>
            </w14:solidFill>
          </w14:textFill>
        </w:rPr>
      </w:pPr>
    </w:p>
    <w:p w14:paraId="2EC9F333">
      <w:pPr>
        <w:pStyle w:val="183"/>
        <w:outlineLvl w:val="9"/>
        <w:rPr>
          <w:rFonts w:ascii="Times New Roman" w:hAnsi="Times New Roman" w:eastAsia="宋体"/>
          <w:color w:val="000000" w:themeColor="text1"/>
          <w14:textFill>
            <w14:solidFill>
              <w14:schemeClr w14:val="tx1"/>
            </w14:solidFill>
          </w14:textFill>
        </w:rPr>
      </w:pPr>
    </w:p>
    <w:p w14:paraId="1E64A19D">
      <w:pPr>
        <w:pStyle w:val="183"/>
        <w:spacing w:line="240" w:lineRule="auto"/>
        <w:outlineLvl w:val="9"/>
        <w:rPr>
          <w:rFonts w:ascii="Times New Roman" w:hAnsi="Times New Roman" w:eastAsia="宋体"/>
          <w:b/>
          <w:color w:val="000000" w:themeColor="text1"/>
          <w:sz w:val="24"/>
          <w14:textFill>
            <w14:solidFill>
              <w14:schemeClr w14:val="tx1"/>
            </w14:solidFill>
          </w14:textFill>
        </w:rPr>
      </w:pPr>
    </w:p>
    <w:p w14:paraId="2C750E70">
      <w:pPr>
        <w:pStyle w:val="183"/>
        <w:spacing w:line="240" w:lineRule="auto"/>
        <w:outlineLvl w:val="9"/>
        <w:rPr>
          <w:rFonts w:ascii="Times New Roman" w:hAnsi="Times New Roman" w:eastAsia="宋体"/>
          <w:b/>
          <w:color w:val="000000" w:themeColor="text1"/>
          <w:sz w:val="24"/>
          <w14:textFill>
            <w14:solidFill>
              <w14:schemeClr w14:val="tx1"/>
            </w14:solidFill>
          </w14:textFill>
        </w:rPr>
      </w:pPr>
      <w:r>
        <w:rPr>
          <w:rFonts w:ascii="Times New Roman" w:hAnsi="Times New Roman" w:eastAsia="宋体"/>
          <w:b/>
          <w:color w:val="000000" w:themeColor="text1"/>
          <w:sz w:val="24"/>
          <w14:textFill>
            <w14:solidFill>
              <w14:schemeClr w14:val="tx1"/>
            </w14:solidFill>
          </w14:textFill>
        </w:rPr>
        <w:t>2026年7月</w:t>
      </w:r>
    </w:p>
    <w:p w14:paraId="25677332">
      <w:pPr>
        <w:pStyle w:val="31"/>
        <w:ind w:firstLine="0" w:firstLineChars="0"/>
        <w:rPr>
          <w:rFonts w:eastAsia="宋体"/>
          <w:color w:val="000000" w:themeColor="text1"/>
          <w14:textFill>
            <w14:solidFill>
              <w14:schemeClr w14:val="tx1"/>
            </w14:solidFill>
          </w14:textFill>
        </w:rPr>
        <w:sectPr>
          <w:pgSz w:w="11906" w:h="16838"/>
          <w:pgMar w:top="1701" w:right="1531" w:bottom="1701" w:left="1531" w:header="851" w:footer="851" w:gutter="0"/>
          <w:cols w:space="720" w:num="1"/>
          <w:docGrid w:linePitch="312" w:charSpace="0"/>
        </w:sectPr>
      </w:pPr>
    </w:p>
    <w:p w14:paraId="4BA60EE5">
      <w:pPr>
        <w:pStyle w:val="168"/>
        <w:pageBreakBefore/>
        <w:widowControl/>
        <w:spacing w:line="360" w:lineRule="auto"/>
        <w:ind w:firstLine="0" w:firstLineChars="0"/>
        <w:outlineLvl w:val="0"/>
        <w:rPr>
          <w:rFonts w:eastAsia="宋体"/>
          <w:b/>
          <w:snapToGrid w:val="0"/>
          <w:color w:val="000000" w:themeColor="text1"/>
          <w:szCs w:val="24"/>
          <w14:textFill>
            <w14:solidFill>
              <w14:schemeClr w14:val="tx1"/>
            </w14:solidFill>
          </w14:textFill>
        </w:rPr>
      </w:pPr>
      <w:bookmarkStart w:id="82" w:name="_Toc25423"/>
      <w:bookmarkStart w:id="83" w:name="_Toc190758995"/>
      <w:bookmarkStart w:id="84" w:name="_Toc191543571"/>
      <w:bookmarkStart w:id="85" w:name="_Toc192084902"/>
      <w:bookmarkStart w:id="86" w:name="_Toc26804"/>
      <w:r>
        <w:rPr>
          <w:rFonts w:eastAsia="宋体"/>
          <w:b/>
          <w:bCs/>
          <w:snapToGrid w:val="0"/>
          <w:color w:val="000000" w:themeColor="text1"/>
          <w:spacing w:val="-10"/>
          <w:szCs w:val="24"/>
          <w14:textFill>
            <w14:solidFill>
              <w14:schemeClr w14:val="tx1"/>
            </w14:solidFill>
          </w14:textFill>
        </w:rPr>
        <w:t>1.总论</w:t>
      </w:r>
      <w:bookmarkEnd w:id="82"/>
      <w:bookmarkEnd w:id="83"/>
      <w:bookmarkEnd w:id="84"/>
      <w:bookmarkEnd w:id="85"/>
      <w:bookmarkEnd w:id="86"/>
    </w:p>
    <w:p w14:paraId="0D8AE0D0">
      <w:pPr>
        <w:pStyle w:val="168"/>
        <w:spacing w:line="360" w:lineRule="auto"/>
        <w:ind w:firstLine="476"/>
        <w:rPr>
          <w:rFonts w:eastAsia="宋体"/>
          <w:snapToGrid w:val="0"/>
          <w:color w:val="000000" w:themeColor="text1"/>
          <w:szCs w:val="24"/>
          <w14:textFill>
            <w14:solidFill>
              <w14:schemeClr w14:val="tx1"/>
            </w14:solidFill>
          </w14:textFill>
        </w:rPr>
      </w:pPr>
      <w:r>
        <w:rPr>
          <w:rFonts w:eastAsia="宋体"/>
          <w:snapToGrid w:val="0"/>
          <w:color w:val="000000" w:themeColor="text1"/>
          <w:spacing w:val="-1"/>
          <w:szCs w:val="24"/>
          <w14:textFill>
            <w14:solidFill>
              <w14:schemeClr w14:val="tx1"/>
            </w14:solidFill>
          </w14:textFill>
        </w:rPr>
        <w:t>风险意识是企业安全生产的前提和保证，科学的风</w:t>
      </w:r>
      <w:r>
        <w:rPr>
          <w:rFonts w:eastAsia="宋体"/>
          <w:snapToGrid w:val="0"/>
          <w:color w:val="000000" w:themeColor="text1"/>
          <w:spacing w:val="-2"/>
          <w:szCs w:val="24"/>
          <w14:textFill>
            <w14:solidFill>
              <w14:schemeClr w14:val="tx1"/>
            </w14:solidFill>
          </w14:textFill>
        </w:rPr>
        <w:t>险防范意识应无处不在。通过</w:t>
      </w:r>
      <w:r>
        <w:rPr>
          <w:rFonts w:eastAsia="宋体"/>
          <w:snapToGrid w:val="0"/>
          <w:color w:val="000000" w:themeColor="text1"/>
          <w:spacing w:val="-1"/>
          <w:szCs w:val="24"/>
          <w14:textFill>
            <w14:solidFill>
              <w14:schemeClr w14:val="tx1"/>
            </w14:solidFill>
          </w14:textFill>
        </w:rPr>
        <w:t>科学的分析评价和管理，严格贯彻执行《国务院关于落实科</w:t>
      </w:r>
      <w:r>
        <w:rPr>
          <w:rFonts w:eastAsia="宋体"/>
          <w:snapToGrid w:val="0"/>
          <w:color w:val="000000" w:themeColor="text1"/>
          <w:spacing w:val="-2"/>
          <w:szCs w:val="24"/>
          <w14:textFill>
            <w14:solidFill>
              <w14:schemeClr w14:val="tx1"/>
            </w14:solidFill>
          </w14:textFill>
        </w:rPr>
        <w:t>学发展观加强环境保护</w:t>
      </w:r>
      <w:r>
        <w:rPr>
          <w:rFonts w:eastAsia="宋体"/>
          <w:snapToGrid w:val="0"/>
          <w:color w:val="000000" w:themeColor="text1"/>
          <w:spacing w:val="-1"/>
          <w:szCs w:val="24"/>
          <w14:textFill>
            <w14:solidFill>
              <w14:schemeClr w14:val="tx1"/>
            </w14:solidFill>
          </w14:textFill>
        </w:rPr>
        <w:t>的决定》和《国家环境保护总局关于防范环境风险加强环境影</w:t>
      </w:r>
      <w:r>
        <w:rPr>
          <w:rFonts w:eastAsia="宋体"/>
          <w:snapToGrid w:val="0"/>
          <w:color w:val="000000" w:themeColor="text1"/>
          <w:spacing w:val="-2"/>
          <w:szCs w:val="24"/>
          <w14:textFill>
            <w14:solidFill>
              <w14:schemeClr w14:val="tx1"/>
            </w14:solidFill>
          </w14:textFill>
        </w:rPr>
        <w:t>响评价管理的通知》的</w:t>
      </w:r>
      <w:r>
        <w:rPr>
          <w:rFonts w:eastAsia="宋体"/>
          <w:snapToGrid w:val="0"/>
          <w:color w:val="000000" w:themeColor="text1"/>
          <w:spacing w:val="-5"/>
          <w:szCs w:val="24"/>
          <w14:textFill>
            <w14:solidFill>
              <w14:schemeClr w14:val="tx1"/>
            </w14:solidFill>
          </w14:textFill>
        </w:rPr>
        <w:t>精神，将环境风险发生的可能性和危害性降低到最低程度</w:t>
      </w:r>
      <w:r>
        <w:rPr>
          <w:rFonts w:eastAsia="宋体"/>
          <w:snapToGrid w:val="0"/>
          <w:color w:val="000000" w:themeColor="text1"/>
          <w:spacing w:val="-6"/>
          <w:szCs w:val="24"/>
          <w14:textFill>
            <w14:solidFill>
              <w14:schemeClr w14:val="tx1"/>
            </w14:solidFill>
          </w14:textFill>
        </w:rPr>
        <w:t>，使风险度达到可接受水平。</w:t>
      </w:r>
    </w:p>
    <w:p w14:paraId="313F010B">
      <w:pPr>
        <w:pStyle w:val="168"/>
        <w:spacing w:line="360" w:lineRule="auto"/>
        <w:ind w:firstLine="480"/>
        <w:rPr>
          <w:rFonts w:eastAsia="宋体"/>
          <w:snapToGrid w:val="0"/>
          <w:color w:val="000000" w:themeColor="text1"/>
          <w:spacing w:val="-4"/>
          <w:szCs w:val="24"/>
          <w14:textFill>
            <w14:solidFill>
              <w14:schemeClr w14:val="tx1"/>
            </w14:solidFill>
          </w14:textFill>
        </w:rPr>
      </w:pPr>
      <w:r>
        <w:rPr>
          <w:rFonts w:eastAsia="宋体"/>
          <w:snapToGrid w:val="0"/>
          <w:color w:val="000000" w:themeColor="text1"/>
          <w:szCs w:val="24"/>
          <w14:textFill>
            <w14:solidFill>
              <w14:schemeClr w14:val="tx1"/>
            </w14:solidFill>
          </w14:textFill>
        </w:rPr>
        <w:t>根据《建设项目环境影响报告表编制技术指南》（污染影响类</w:t>
      </w:r>
      <w:r>
        <w:rPr>
          <w:rFonts w:eastAsia="宋体"/>
          <w:snapToGrid w:val="0"/>
          <w:color w:val="000000" w:themeColor="text1"/>
          <w:spacing w:val="-24"/>
          <w:szCs w:val="24"/>
          <w14:textFill>
            <w14:solidFill>
              <w14:schemeClr w14:val="tx1"/>
            </w14:solidFill>
          </w14:textFill>
        </w:rPr>
        <w:t>）（</w:t>
      </w:r>
      <w:r>
        <w:rPr>
          <w:rFonts w:eastAsia="宋体"/>
          <w:snapToGrid w:val="0"/>
          <w:color w:val="000000" w:themeColor="text1"/>
          <w:szCs w:val="24"/>
          <w14:textFill>
            <w14:solidFill>
              <w14:schemeClr w14:val="tx1"/>
            </w14:solidFill>
          </w14:textFill>
        </w:rPr>
        <w:t>试行）、《建设项</w:t>
      </w:r>
      <w:r>
        <w:rPr>
          <w:rFonts w:eastAsia="宋体"/>
          <w:snapToGrid w:val="0"/>
          <w:color w:val="000000" w:themeColor="text1"/>
          <w:spacing w:val="-2"/>
          <w:szCs w:val="24"/>
          <w14:textFill>
            <w14:solidFill>
              <w14:schemeClr w14:val="tx1"/>
            </w14:solidFill>
          </w14:textFill>
        </w:rPr>
        <w:t>目环境风险评价技术导则》（HJ169-2018</w:t>
      </w:r>
      <w:r>
        <w:rPr>
          <w:rFonts w:eastAsia="宋体"/>
          <w:snapToGrid w:val="0"/>
          <w:color w:val="000000" w:themeColor="text1"/>
          <w:spacing w:val="-15"/>
          <w:szCs w:val="24"/>
          <w14:textFill>
            <w14:solidFill>
              <w14:schemeClr w14:val="tx1"/>
            </w14:solidFill>
          </w14:textFill>
        </w:rPr>
        <w:t>），</w:t>
      </w:r>
      <w:r>
        <w:rPr>
          <w:rFonts w:eastAsia="宋体"/>
          <w:snapToGrid w:val="0"/>
          <w:color w:val="000000" w:themeColor="text1"/>
          <w:spacing w:val="-2"/>
          <w:szCs w:val="24"/>
          <w14:textFill>
            <w14:solidFill>
              <w14:schemeClr w14:val="tx1"/>
            </w14:solidFill>
          </w14:textFill>
        </w:rPr>
        <w:t>本项目</w:t>
      </w:r>
      <w:r>
        <w:rPr>
          <w:rFonts w:eastAsia="宋体"/>
          <w:snapToGrid w:val="0"/>
          <w:color w:val="000000" w:themeColor="text1"/>
          <w:spacing w:val="-3"/>
          <w:szCs w:val="24"/>
          <w14:textFill>
            <w14:solidFill>
              <w14:schemeClr w14:val="tx1"/>
            </w14:solidFill>
          </w14:textFill>
        </w:rPr>
        <w:t>硫酸铵最大储存量超过其环境风</w:t>
      </w:r>
      <w:r>
        <w:rPr>
          <w:rFonts w:eastAsia="宋体"/>
          <w:snapToGrid w:val="0"/>
          <w:color w:val="000000" w:themeColor="text1"/>
          <w:spacing w:val="-1"/>
          <w:szCs w:val="24"/>
          <w14:textFill>
            <w14:solidFill>
              <w14:schemeClr w14:val="tx1"/>
            </w14:solidFill>
          </w14:textFill>
        </w:rPr>
        <w:t>险临界量，须对其开展环境风险专项评价，主要内容包括风险</w:t>
      </w:r>
      <w:r>
        <w:rPr>
          <w:rFonts w:eastAsia="宋体"/>
          <w:snapToGrid w:val="0"/>
          <w:color w:val="000000" w:themeColor="text1"/>
          <w:spacing w:val="-2"/>
          <w:szCs w:val="24"/>
          <w14:textFill>
            <w14:solidFill>
              <w14:schemeClr w14:val="tx1"/>
            </w14:solidFill>
          </w14:textFill>
        </w:rPr>
        <w:t>调查、环境风险潜势初</w:t>
      </w:r>
      <w:r>
        <w:rPr>
          <w:rFonts w:eastAsia="宋体"/>
          <w:snapToGrid w:val="0"/>
          <w:color w:val="000000" w:themeColor="text1"/>
          <w:spacing w:val="-1"/>
          <w:szCs w:val="24"/>
          <w14:textFill>
            <w14:solidFill>
              <w14:schemeClr w14:val="tx1"/>
            </w14:solidFill>
          </w14:textFill>
        </w:rPr>
        <w:t>判及评价等级判定、风险识别、风险事故情形分析、风险预测</w:t>
      </w:r>
      <w:r>
        <w:rPr>
          <w:rFonts w:eastAsia="宋体"/>
          <w:snapToGrid w:val="0"/>
          <w:color w:val="000000" w:themeColor="text1"/>
          <w:spacing w:val="-2"/>
          <w:szCs w:val="24"/>
          <w14:textFill>
            <w14:solidFill>
              <w14:schemeClr w14:val="tx1"/>
            </w14:solidFill>
          </w14:textFill>
        </w:rPr>
        <w:t>与评价、环境风险管理</w:t>
      </w:r>
      <w:r>
        <w:rPr>
          <w:rFonts w:eastAsia="宋体"/>
          <w:snapToGrid w:val="0"/>
          <w:color w:val="000000" w:themeColor="text1"/>
          <w:spacing w:val="-1"/>
          <w:szCs w:val="24"/>
          <w14:textFill>
            <w14:solidFill>
              <w14:schemeClr w14:val="tx1"/>
            </w14:solidFill>
          </w14:textFill>
        </w:rPr>
        <w:t>等；通过评价，识别项目潜在的危险物质和风险源，分析可能</w:t>
      </w:r>
      <w:r>
        <w:rPr>
          <w:rFonts w:eastAsia="宋体"/>
          <w:snapToGrid w:val="0"/>
          <w:color w:val="000000" w:themeColor="text1"/>
          <w:spacing w:val="-2"/>
          <w:szCs w:val="24"/>
          <w14:textFill>
            <w14:solidFill>
              <w14:schemeClr w14:val="tx1"/>
            </w14:solidFill>
          </w14:textFill>
        </w:rPr>
        <w:t>的环境风险类型以及环</w:t>
      </w:r>
      <w:r>
        <w:rPr>
          <w:rFonts w:eastAsia="宋体"/>
          <w:snapToGrid w:val="0"/>
          <w:color w:val="000000" w:themeColor="text1"/>
          <w:spacing w:val="-1"/>
          <w:szCs w:val="24"/>
          <w14:textFill>
            <w14:solidFill>
              <w14:schemeClr w14:val="tx1"/>
            </w14:solidFill>
          </w14:textFill>
        </w:rPr>
        <w:t>境影响途径，预测事故的影响范围及危害程度，提出切实可行</w:t>
      </w:r>
      <w:r>
        <w:rPr>
          <w:rFonts w:eastAsia="宋体"/>
          <w:snapToGrid w:val="0"/>
          <w:color w:val="000000" w:themeColor="text1"/>
          <w:spacing w:val="-2"/>
          <w:szCs w:val="24"/>
          <w14:textFill>
            <w14:solidFill>
              <w14:schemeClr w14:val="tx1"/>
            </w14:solidFill>
          </w14:textFill>
        </w:rPr>
        <w:t>的风险防范措施和应急</w:t>
      </w:r>
      <w:r>
        <w:rPr>
          <w:rFonts w:eastAsia="宋体"/>
          <w:snapToGrid w:val="0"/>
          <w:color w:val="000000" w:themeColor="text1"/>
          <w:spacing w:val="-1"/>
          <w:szCs w:val="24"/>
          <w14:textFill>
            <w14:solidFill>
              <w14:schemeClr w14:val="tx1"/>
            </w14:solidFill>
          </w14:textFill>
        </w:rPr>
        <w:t>预案，为工程设计和环境管理提供资料和依据，以期达到降低</w:t>
      </w:r>
      <w:r>
        <w:rPr>
          <w:rFonts w:eastAsia="宋体"/>
          <w:snapToGrid w:val="0"/>
          <w:color w:val="000000" w:themeColor="text1"/>
          <w:spacing w:val="-2"/>
          <w:szCs w:val="24"/>
          <w14:textFill>
            <w14:solidFill>
              <w14:schemeClr w14:val="tx1"/>
            </w14:solidFill>
          </w14:textFill>
        </w:rPr>
        <w:t>环境风险、减少危害的</w:t>
      </w:r>
      <w:r>
        <w:rPr>
          <w:rFonts w:eastAsia="宋体"/>
          <w:snapToGrid w:val="0"/>
          <w:color w:val="000000" w:themeColor="text1"/>
          <w:spacing w:val="-4"/>
          <w:szCs w:val="24"/>
          <w14:textFill>
            <w14:solidFill>
              <w14:schemeClr w14:val="tx1"/>
            </w14:solidFill>
          </w14:textFill>
        </w:rPr>
        <w:t>目的。</w:t>
      </w:r>
    </w:p>
    <w:p w14:paraId="31E46DFA">
      <w:pPr>
        <w:pStyle w:val="168"/>
        <w:pageBreakBefore/>
        <w:widowControl/>
        <w:spacing w:line="360" w:lineRule="auto"/>
        <w:ind w:firstLine="0" w:firstLineChars="0"/>
        <w:outlineLvl w:val="0"/>
        <w:rPr>
          <w:rFonts w:eastAsia="宋体"/>
          <w:snapToGrid w:val="0"/>
          <w:color w:val="000000" w:themeColor="text1"/>
          <w:szCs w:val="24"/>
          <w14:textFill>
            <w14:solidFill>
              <w14:schemeClr w14:val="tx1"/>
            </w14:solidFill>
          </w14:textFill>
        </w:rPr>
      </w:pPr>
      <w:bookmarkStart w:id="87" w:name="_Toc191543572"/>
      <w:bookmarkStart w:id="88" w:name="_Toc28640"/>
      <w:bookmarkStart w:id="89" w:name="_Toc192084903"/>
      <w:bookmarkStart w:id="90" w:name="_Toc7687"/>
      <w:bookmarkStart w:id="91" w:name="_Toc190758996"/>
      <w:r>
        <w:rPr>
          <w:rFonts w:eastAsia="宋体"/>
          <w:snapToGrid w:val="0"/>
          <w:color w:val="000000" w:themeColor="text1"/>
          <w:spacing w:val="-8"/>
          <w:szCs w:val="24"/>
          <w14:textFill>
            <w14:solidFill>
              <w14:schemeClr w14:val="tx1"/>
            </w14:solidFill>
          </w14:textFill>
        </w:rPr>
        <w:t>2.</w:t>
      </w:r>
      <w:r>
        <w:rPr>
          <w:rFonts w:eastAsia="宋体"/>
          <w:snapToGrid w:val="0"/>
          <w:color w:val="000000" w:themeColor="text1"/>
          <w:spacing w:val="5"/>
          <w:szCs w:val="24"/>
          <w14:textFill>
            <w14:solidFill>
              <w14:schemeClr w14:val="tx1"/>
            </w14:solidFill>
          </w14:textFill>
        </w:rPr>
        <w:t xml:space="preserve"> </w:t>
      </w:r>
      <w:r>
        <w:rPr>
          <w:rFonts w:eastAsia="宋体"/>
          <w:b/>
          <w:bCs/>
          <w:snapToGrid w:val="0"/>
          <w:color w:val="000000" w:themeColor="text1"/>
          <w:spacing w:val="-8"/>
          <w:szCs w:val="24"/>
          <w14:textFill>
            <w14:solidFill>
              <w14:schemeClr w14:val="tx1"/>
            </w14:solidFill>
          </w14:textFill>
        </w:rPr>
        <w:t>编制依据</w:t>
      </w:r>
      <w:bookmarkEnd w:id="87"/>
      <w:bookmarkEnd w:id="88"/>
      <w:bookmarkEnd w:id="89"/>
      <w:bookmarkEnd w:id="90"/>
      <w:bookmarkEnd w:id="91"/>
    </w:p>
    <w:p w14:paraId="189849E4">
      <w:pPr>
        <w:spacing w:line="360" w:lineRule="auto"/>
        <w:ind w:firstLine="476" w:firstLineChars="200"/>
        <w:rPr>
          <w:rFonts w:hint="eastAsia" w:eastAsia="宋体"/>
          <w:snapToGrid w:val="0"/>
          <w:color w:val="000000" w:themeColor="text1"/>
          <w:spacing w:val="-1"/>
          <w:kern w:val="44"/>
          <w:sz w:val="24"/>
          <w:lang w:eastAsia="zh-CN"/>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（1）</w:t>
      </w:r>
      <w:r>
        <w:rPr>
          <w:rFonts w:hint="eastAsia" w:eastAsia="宋体"/>
          <w:snapToGrid w:val="0"/>
          <w:color w:val="000000" w:themeColor="text1"/>
          <w:spacing w:val="-1"/>
          <w:kern w:val="44"/>
          <w:sz w:val="24"/>
          <w14:textFill>
            <w14:solidFill>
              <w14:schemeClr w14:val="tx1"/>
            </w14:solidFill>
          </w14:textFill>
        </w:rPr>
        <w:t>《中华人民共和国生态环境法典》（2026年8月15日施行）</w:t>
      </w:r>
      <w:r>
        <w:rPr>
          <w:rFonts w:hint="eastAsia" w:eastAsia="宋体"/>
          <w:snapToGrid w:val="0"/>
          <w:color w:val="000000" w:themeColor="text1"/>
          <w:spacing w:val="-1"/>
          <w:kern w:val="44"/>
          <w:sz w:val="24"/>
          <w:lang w:eastAsia="zh-CN"/>
          <w14:textFill>
            <w14:solidFill>
              <w14:schemeClr w14:val="tx1"/>
            </w14:solidFill>
          </w14:textFill>
        </w:rPr>
        <w:t>；</w:t>
      </w:r>
    </w:p>
    <w:p w14:paraId="4F6D559C">
      <w:pPr>
        <w:widowControl/>
        <w:kinsoku w:val="0"/>
        <w:autoSpaceDE w:val="0"/>
        <w:autoSpaceDN w:val="0"/>
        <w:adjustRightInd w:val="0"/>
        <w:snapToGrid w:val="0"/>
        <w:spacing w:line="360" w:lineRule="auto"/>
        <w:ind w:firstLine="476" w:firstLineChars="200"/>
        <w:textAlignment w:val="baseline"/>
        <w:rPr>
          <w:rFonts w:eastAsia="宋体"/>
          <w:snapToGrid w:val="0"/>
          <w:color w:val="000000" w:themeColor="text1"/>
          <w:kern w:val="0"/>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（2）《关于加强化学危险品管理的通知》（环发[1999]296 号）</w:t>
      </w:r>
      <w:r>
        <w:rPr>
          <w:rFonts w:eastAsia="宋体"/>
          <w:snapToGrid w:val="0"/>
          <w:color w:val="000000" w:themeColor="text1"/>
          <w:spacing w:val="-15"/>
          <w:kern w:val="44"/>
          <w:sz w:val="24"/>
          <w14:textFill>
            <w14:solidFill>
              <w14:schemeClr w14:val="tx1"/>
            </w14:solidFill>
          </w14:textFill>
        </w:rPr>
        <w:t>；</w:t>
      </w:r>
    </w:p>
    <w:p w14:paraId="7D5C717E">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（3）</w:t>
      </w:r>
      <w:r>
        <w:rPr>
          <w:rFonts w:eastAsia="宋体"/>
          <w:snapToGrid w:val="0"/>
          <w:color w:val="000000" w:themeColor="text1"/>
          <w:kern w:val="44"/>
          <w:sz w:val="24"/>
          <w14:textFill>
            <w14:solidFill>
              <w14:schemeClr w14:val="tx1"/>
            </w14:solidFill>
          </w14:textFill>
        </w:rPr>
        <w:t>《建设项目环境影响报告表编制技术指南（污染影响类</w:t>
      </w:r>
      <w:r>
        <w:rPr>
          <w:rFonts w:eastAsia="宋体"/>
          <w:snapToGrid w:val="0"/>
          <w:color w:val="000000" w:themeColor="text1"/>
          <w:spacing w:val="-11"/>
          <w:kern w:val="44"/>
          <w:sz w:val="24"/>
          <w14:textFill>
            <w14:solidFill>
              <w14:schemeClr w14:val="tx1"/>
            </w14:solidFill>
          </w14:textFill>
        </w:rPr>
        <w:t>）（</w:t>
      </w:r>
      <w:r>
        <w:rPr>
          <w:rFonts w:eastAsia="宋体"/>
          <w:snapToGrid w:val="0"/>
          <w:color w:val="000000" w:themeColor="text1"/>
          <w:kern w:val="44"/>
          <w:sz w:val="24"/>
          <w14:textFill>
            <w14:solidFill>
              <w14:schemeClr w14:val="tx1"/>
            </w14:solidFill>
          </w14:textFill>
        </w:rPr>
        <w:t>试行）》；</w:t>
      </w:r>
    </w:p>
    <w:p w14:paraId="4EA6027E">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（4）《建设项目环境保护管理条例》(国务院令第253号)，2017.10.1；</w:t>
      </w:r>
    </w:p>
    <w:p w14:paraId="27DE565D">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w:t>
      </w:r>
      <w:r>
        <w:rPr>
          <w:rFonts w:hint="eastAsia" w:eastAsia="宋体"/>
          <w:snapToGrid w:val="0"/>
          <w:color w:val="000000" w:themeColor="text1"/>
          <w:spacing w:val="-1"/>
          <w:kern w:val="44"/>
          <w:sz w:val="24"/>
          <w:lang w:val="en-US" w:eastAsia="zh-CN"/>
          <w14:textFill>
            <w14:solidFill>
              <w14:schemeClr w14:val="tx1"/>
            </w14:solidFill>
          </w14:textFill>
        </w:rPr>
        <w:t>5</w:t>
      </w:r>
      <w:r>
        <w:rPr>
          <w:rFonts w:eastAsia="宋体"/>
          <w:snapToGrid w:val="0"/>
          <w:color w:val="000000" w:themeColor="text1"/>
          <w:spacing w:val="-1"/>
          <w:kern w:val="44"/>
          <w:sz w:val="24"/>
          <w14:textFill>
            <w14:solidFill>
              <w14:schemeClr w14:val="tx1"/>
            </w14:solidFill>
          </w14:textFill>
        </w:rPr>
        <w:t>）</w:t>
      </w:r>
      <w:r>
        <w:rPr>
          <w:rFonts w:eastAsia="宋体"/>
          <w:snapToGrid w:val="0"/>
          <w:color w:val="000000" w:themeColor="text1"/>
          <w:spacing w:val="-2"/>
          <w:kern w:val="44"/>
          <w:sz w:val="24"/>
          <w14:textFill>
            <w14:solidFill>
              <w14:schemeClr w14:val="tx1"/>
            </w14:solidFill>
          </w14:textFill>
        </w:rPr>
        <w:t>《建设项目环境风险评价技术导则》（HJ169-2018</w:t>
      </w:r>
      <w:r>
        <w:rPr>
          <w:rFonts w:eastAsia="宋体"/>
          <w:snapToGrid w:val="0"/>
          <w:color w:val="000000" w:themeColor="text1"/>
          <w:spacing w:val="4"/>
          <w:kern w:val="44"/>
          <w:sz w:val="24"/>
          <w14:textFill>
            <w14:solidFill>
              <w14:schemeClr w14:val="tx1"/>
            </w14:solidFill>
          </w14:textFill>
        </w:rPr>
        <w:t>）；</w:t>
      </w:r>
    </w:p>
    <w:p w14:paraId="77EF5CCE">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w:t>
      </w:r>
      <w:r>
        <w:rPr>
          <w:rFonts w:hint="eastAsia" w:eastAsia="宋体"/>
          <w:snapToGrid w:val="0"/>
          <w:color w:val="000000" w:themeColor="text1"/>
          <w:spacing w:val="-1"/>
          <w:kern w:val="44"/>
          <w:sz w:val="24"/>
          <w:lang w:val="en-US" w:eastAsia="zh-CN"/>
          <w14:textFill>
            <w14:solidFill>
              <w14:schemeClr w14:val="tx1"/>
            </w14:solidFill>
          </w14:textFill>
        </w:rPr>
        <w:t>6</w:t>
      </w:r>
      <w:r>
        <w:rPr>
          <w:rFonts w:eastAsia="宋体"/>
          <w:snapToGrid w:val="0"/>
          <w:color w:val="000000" w:themeColor="text1"/>
          <w:spacing w:val="-1"/>
          <w:kern w:val="44"/>
          <w:sz w:val="24"/>
          <w14:textFill>
            <w14:solidFill>
              <w14:schemeClr w14:val="tx1"/>
            </w14:solidFill>
          </w14:textFill>
        </w:rPr>
        <w:t>）《建设项目环境影响评价分类管理名录（2021 年版）》；</w:t>
      </w:r>
    </w:p>
    <w:p w14:paraId="37A3E5D9">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w:t>
      </w:r>
      <w:r>
        <w:rPr>
          <w:rFonts w:hint="eastAsia" w:eastAsia="宋体"/>
          <w:snapToGrid w:val="0"/>
          <w:color w:val="000000" w:themeColor="text1"/>
          <w:spacing w:val="-1"/>
          <w:kern w:val="44"/>
          <w:sz w:val="24"/>
          <w:lang w:val="en-US" w:eastAsia="zh-CN"/>
          <w14:textFill>
            <w14:solidFill>
              <w14:schemeClr w14:val="tx1"/>
            </w14:solidFill>
          </w14:textFill>
        </w:rPr>
        <w:t>7</w:t>
      </w:r>
      <w:r>
        <w:rPr>
          <w:rFonts w:eastAsia="宋体"/>
          <w:snapToGrid w:val="0"/>
          <w:color w:val="000000" w:themeColor="text1"/>
          <w:spacing w:val="-1"/>
          <w:kern w:val="44"/>
          <w:sz w:val="24"/>
          <w14:textFill>
            <w14:solidFill>
              <w14:schemeClr w14:val="tx1"/>
            </w14:solidFill>
          </w14:textFill>
        </w:rPr>
        <w:t>）</w:t>
      </w:r>
      <w:r>
        <w:rPr>
          <w:rFonts w:eastAsia="宋体"/>
          <w:snapToGrid w:val="0"/>
          <w:color w:val="000000" w:themeColor="text1"/>
          <w:spacing w:val="-6"/>
          <w:kern w:val="44"/>
          <w:sz w:val="24"/>
          <w14:textFill>
            <w14:solidFill>
              <w14:schemeClr w14:val="tx1"/>
            </w14:solidFill>
          </w14:textFill>
        </w:rPr>
        <w:t>《关于加强环境影响评价管理防范环境风险的通知》（环发[20012]77号</w:t>
      </w:r>
      <w:r>
        <w:rPr>
          <w:rFonts w:eastAsia="宋体"/>
          <w:snapToGrid w:val="0"/>
          <w:color w:val="000000" w:themeColor="text1"/>
          <w:spacing w:val="-56"/>
          <w:w w:val="87"/>
          <w:kern w:val="44"/>
          <w:sz w:val="24"/>
          <w14:textFill>
            <w14:solidFill>
              <w14:schemeClr w14:val="tx1"/>
            </w14:solidFill>
          </w14:textFill>
        </w:rPr>
        <w:t>）；</w:t>
      </w:r>
    </w:p>
    <w:p w14:paraId="6D2CBB3D">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w:t>
      </w:r>
      <w:r>
        <w:rPr>
          <w:rFonts w:hint="eastAsia" w:eastAsia="宋体"/>
          <w:snapToGrid w:val="0"/>
          <w:color w:val="000000" w:themeColor="text1"/>
          <w:spacing w:val="-1"/>
          <w:kern w:val="44"/>
          <w:sz w:val="24"/>
          <w:lang w:val="en-US" w:eastAsia="zh-CN"/>
          <w14:textFill>
            <w14:solidFill>
              <w14:schemeClr w14:val="tx1"/>
            </w14:solidFill>
          </w14:textFill>
        </w:rPr>
        <w:t>8</w:t>
      </w:r>
      <w:r>
        <w:rPr>
          <w:rFonts w:eastAsia="宋体"/>
          <w:snapToGrid w:val="0"/>
          <w:color w:val="000000" w:themeColor="text1"/>
          <w:spacing w:val="-1"/>
          <w:kern w:val="44"/>
          <w:sz w:val="24"/>
          <w14:textFill>
            <w14:solidFill>
              <w14:schemeClr w14:val="tx1"/>
            </w14:solidFill>
          </w14:textFill>
        </w:rPr>
        <w:t>）</w:t>
      </w:r>
      <w:r>
        <w:rPr>
          <w:rFonts w:eastAsia="宋体"/>
          <w:snapToGrid w:val="0"/>
          <w:color w:val="000000" w:themeColor="text1"/>
          <w:spacing w:val="7"/>
          <w:kern w:val="44"/>
          <w:sz w:val="24"/>
          <w14:textFill>
            <w14:solidFill>
              <w14:schemeClr w14:val="tx1"/>
            </w14:solidFill>
          </w14:textFill>
        </w:rPr>
        <w:t>国发[2013]37号《国务院关于印发大气污染防治行动计划的通知》，</w:t>
      </w:r>
      <w:r>
        <w:rPr>
          <w:rFonts w:eastAsia="宋体"/>
          <w:snapToGrid w:val="0"/>
          <w:color w:val="000000" w:themeColor="text1"/>
          <w:spacing w:val="-1"/>
          <w:kern w:val="44"/>
          <w:sz w:val="24"/>
          <w14:textFill>
            <w14:solidFill>
              <w14:schemeClr w14:val="tx1"/>
            </w14:solidFill>
          </w14:textFill>
        </w:rPr>
        <w:t>2013-09-10；</w:t>
      </w:r>
    </w:p>
    <w:p w14:paraId="54D63586">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w:t>
      </w:r>
      <w:r>
        <w:rPr>
          <w:rFonts w:hint="eastAsia" w:eastAsia="宋体"/>
          <w:snapToGrid w:val="0"/>
          <w:color w:val="000000" w:themeColor="text1"/>
          <w:spacing w:val="-1"/>
          <w:kern w:val="44"/>
          <w:sz w:val="24"/>
          <w:lang w:val="en-US" w:eastAsia="zh-CN"/>
          <w14:textFill>
            <w14:solidFill>
              <w14:schemeClr w14:val="tx1"/>
            </w14:solidFill>
          </w14:textFill>
        </w:rPr>
        <w:t>9</w:t>
      </w:r>
      <w:r>
        <w:rPr>
          <w:rFonts w:eastAsia="宋体"/>
          <w:snapToGrid w:val="0"/>
          <w:color w:val="000000" w:themeColor="text1"/>
          <w:spacing w:val="-1"/>
          <w:kern w:val="44"/>
          <w:sz w:val="24"/>
          <w14:textFill>
            <w14:solidFill>
              <w14:schemeClr w14:val="tx1"/>
            </w14:solidFill>
          </w14:textFill>
        </w:rPr>
        <w:t>）</w:t>
      </w:r>
      <w:r>
        <w:rPr>
          <w:rFonts w:eastAsia="宋体"/>
          <w:snapToGrid w:val="0"/>
          <w:color w:val="000000" w:themeColor="text1"/>
          <w:spacing w:val="12"/>
          <w:kern w:val="44"/>
          <w:sz w:val="24"/>
          <w14:textFill>
            <w14:solidFill>
              <w14:schemeClr w14:val="tx1"/>
            </w14:solidFill>
          </w14:textFill>
        </w:rPr>
        <w:t>国发[2015]17号《国务院关于印发水污染防治行动计划的通知》，</w:t>
      </w:r>
      <w:r>
        <w:rPr>
          <w:rFonts w:eastAsia="宋体"/>
          <w:snapToGrid w:val="0"/>
          <w:color w:val="000000" w:themeColor="text1"/>
          <w:spacing w:val="-1"/>
          <w:kern w:val="44"/>
          <w:sz w:val="24"/>
          <w14:textFill>
            <w14:solidFill>
              <w14:schemeClr w14:val="tx1"/>
            </w14:solidFill>
          </w14:textFill>
        </w:rPr>
        <w:t>2015-04-02；</w:t>
      </w:r>
    </w:p>
    <w:p w14:paraId="6B8DFCD0">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（1</w:t>
      </w:r>
      <w:r>
        <w:rPr>
          <w:rFonts w:hint="eastAsia" w:eastAsia="宋体"/>
          <w:snapToGrid w:val="0"/>
          <w:color w:val="000000" w:themeColor="text1"/>
          <w:spacing w:val="-1"/>
          <w:kern w:val="44"/>
          <w:sz w:val="24"/>
          <w:lang w:val="en-US" w:eastAsia="zh-CN"/>
          <w14:textFill>
            <w14:solidFill>
              <w14:schemeClr w14:val="tx1"/>
            </w14:solidFill>
          </w14:textFill>
        </w:rPr>
        <w:t>0</w:t>
      </w:r>
      <w:r>
        <w:rPr>
          <w:rFonts w:eastAsia="宋体"/>
          <w:snapToGrid w:val="0"/>
          <w:color w:val="000000" w:themeColor="text1"/>
          <w:spacing w:val="-1"/>
          <w:kern w:val="44"/>
          <w:sz w:val="24"/>
          <w14:textFill>
            <w14:solidFill>
              <w14:schemeClr w14:val="tx1"/>
            </w14:solidFill>
          </w14:textFill>
        </w:rPr>
        <w:t>）</w:t>
      </w:r>
      <w:r>
        <w:rPr>
          <w:rFonts w:eastAsia="宋体"/>
          <w:snapToGrid w:val="0"/>
          <w:color w:val="000000" w:themeColor="text1"/>
          <w:spacing w:val="-10"/>
          <w:kern w:val="44"/>
          <w:sz w:val="24"/>
          <w14:textFill>
            <w14:solidFill>
              <w14:schemeClr w14:val="tx1"/>
            </w14:solidFill>
          </w14:textFill>
        </w:rPr>
        <w:t>国发[2005]39号《关于落实科学发</w:t>
      </w:r>
      <w:r>
        <w:rPr>
          <w:rFonts w:eastAsia="宋体"/>
          <w:snapToGrid w:val="0"/>
          <w:color w:val="000000" w:themeColor="text1"/>
          <w:spacing w:val="-11"/>
          <w:kern w:val="44"/>
          <w:sz w:val="24"/>
          <w14:textFill>
            <w14:solidFill>
              <w14:schemeClr w14:val="tx1"/>
            </w14:solidFill>
          </w14:textFill>
        </w:rPr>
        <w:t>展观加强环境保护的决定》，2005-12-03；</w:t>
      </w:r>
    </w:p>
    <w:p w14:paraId="25F56A52">
      <w:pPr>
        <w:spacing w:line="360" w:lineRule="auto"/>
        <w:ind w:firstLine="476" w:firstLineChars="200"/>
        <w:rPr>
          <w:rFonts w:eastAsia="宋体"/>
          <w:snapToGrid w:val="0"/>
          <w:color w:val="000000" w:themeColor="text1"/>
          <w:spacing w:val="-1"/>
          <w:kern w:val="44"/>
          <w:sz w:val="24"/>
          <w14:textFill>
            <w14:solidFill>
              <w14:schemeClr w14:val="tx1"/>
            </w14:solidFill>
          </w14:textFill>
        </w:rPr>
      </w:pPr>
      <w:r>
        <w:rPr>
          <w:rFonts w:eastAsia="宋体"/>
          <w:snapToGrid w:val="0"/>
          <w:color w:val="000000" w:themeColor="text1"/>
          <w:spacing w:val="-1"/>
          <w:kern w:val="44"/>
          <w:sz w:val="24"/>
          <w14:textFill>
            <w14:solidFill>
              <w14:schemeClr w14:val="tx1"/>
            </w14:solidFill>
          </w14:textFill>
        </w:rPr>
        <w:t>（1</w:t>
      </w:r>
      <w:r>
        <w:rPr>
          <w:rFonts w:hint="eastAsia" w:eastAsia="宋体"/>
          <w:snapToGrid w:val="0"/>
          <w:color w:val="000000" w:themeColor="text1"/>
          <w:spacing w:val="-1"/>
          <w:kern w:val="44"/>
          <w:sz w:val="24"/>
          <w:lang w:val="en-US" w:eastAsia="zh-CN"/>
          <w14:textFill>
            <w14:solidFill>
              <w14:schemeClr w14:val="tx1"/>
            </w14:solidFill>
          </w14:textFill>
        </w:rPr>
        <w:t>1</w:t>
      </w:r>
      <w:r>
        <w:rPr>
          <w:rFonts w:eastAsia="宋体"/>
          <w:snapToGrid w:val="0"/>
          <w:color w:val="000000" w:themeColor="text1"/>
          <w:spacing w:val="-1"/>
          <w:kern w:val="44"/>
          <w:sz w:val="24"/>
          <w14:textFill>
            <w14:solidFill>
              <w14:schemeClr w14:val="tx1"/>
            </w14:solidFill>
          </w14:textFill>
        </w:rPr>
        <w:t>）国发[2000]38号《关于印发全国生态环境保护纲要的通知》，2000-11-26；</w:t>
      </w:r>
    </w:p>
    <w:p w14:paraId="73C31E95">
      <w:pPr>
        <w:pStyle w:val="168"/>
        <w:spacing w:line="360" w:lineRule="auto"/>
        <w:ind w:firstLine="480"/>
        <w:rPr>
          <w:rFonts w:eastAsia="宋体"/>
          <w:color w:val="000000" w:themeColor="text1"/>
          <w:szCs w:val="24"/>
          <w14:textFill>
            <w14:solidFill>
              <w14:schemeClr w14:val="tx1"/>
            </w14:solidFill>
          </w14:textFill>
        </w:rPr>
        <w:sectPr>
          <w:footerReference r:id="rId11" w:type="default"/>
          <w:pgSz w:w="11906" w:h="16839"/>
          <w:pgMar w:top="1431" w:right="1471" w:bottom="958" w:left="1536" w:header="0" w:footer="694" w:gutter="0"/>
          <w:cols w:space="720" w:num="1"/>
        </w:sectPr>
      </w:pPr>
    </w:p>
    <w:p w14:paraId="0CF93D3B">
      <w:pPr>
        <w:pStyle w:val="168"/>
        <w:pageBreakBefore/>
        <w:spacing w:line="360" w:lineRule="auto"/>
        <w:ind w:firstLine="0" w:firstLineChars="0"/>
        <w:outlineLvl w:val="0"/>
        <w:rPr>
          <w:rFonts w:eastAsia="宋体"/>
          <w:snapToGrid w:val="0"/>
          <w:color w:val="000000" w:themeColor="text1"/>
          <w:szCs w:val="24"/>
          <w14:textFill>
            <w14:solidFill>
              <w14:schemeClr w14:val="tx1"/>
            </w14:solidFill>
          </w14:textFill>
        </w:rPr>
      </w:pPr>
      <w:bookmarkStart w:id="92" w:name="_Toc11971"/>
      <w:bookmarkStart w:id="93" w:name="_Toc3495"/>
      <w:bookmarkStart w:id="94" w:name="_Toc190758997"/>
      <w:bookmarkStart w:id="95" w:name="_Toc192084904"/>
      <w:bookmarkStart w:id="96" w:name="_Toc191543573"/>
      <w:r>
        <w:rPr>
          <w:rFonts w:eastAsia="宋体"/>
          <w:b/>
          <w:bCs/>
          <w:snapToGrid w:val="0"/>
          <w:color w:val="000000" w:themeColor="text1"/>
          <w:spacing w:val="-2"/>
          <w:szCs w:val="24"/>
          <w14:textFill>
            <w14:solidFill>
              <w14:schemeClr w14:val="tx1"/>
            </w14:solidFill>
          </w14:textFill>
        </w:rPr>
        <w:t>3. 环境风险评价目的</w:t>
      </w:r>
      <w:bookmarkEnd w:id="92"/>
      <w:bookmarkEnd w:id="93"/>
      <w:bookmarkEnd w:id="94"/>
      <w:bookmarkEnd w:id="95"/>
      <w:bookmarkEnd w:id="96"/>
    </w:p>
    <w:p w14:paraId="2AF5994A">
      <w:pPr>
        <w:pStyle w:val="168"/>
        <w:spacing w:line="360" w:lineRule="auto"/>
        <w:ind w:firstLine="476"/>
        <w:rPr>
          <w:rFonts w:eastAsia="宋体"/>
          <w:snapToGrid w:val="0"/>
          <w:color w:val="000000" w:themeColor="text1"/>
          <w:spacing w:val="-1"/>
          <w:szCs w:val="24"/>
          <w14:textFill>
            <w14:solidFill>
              <w14:schemeClr w14:val="tx1"/>
            </w14:solidFill>
          </w14:textFill>
        </w:rPr>
      </w:pPr>
      <w:r>
        <w:rPr>
          <w:rFonts w:eastAsia="宋体"/>
          <w:snapToGrid w:val="0"/>
          <w:color w:val="000000" w:themeColor="text1"/>
          <w:spacing w:val="-1"/>
          <w:szCs w:val="24"/>
          <w14:textFill>
            <w14:solidFill>
              <w14:schemeClr w14:val="tx1"/>
            </w14:solidFill>
          </w14:textFill>
        </w:rPr>
        <w:t>环境风险是指突发性事故造成的重大环境污染事件，</w:t>
      </w:r>
      <w:r>
        <w:rPr>
          <w:rFonts w:eastAsia="宋体"/>
          <w:snapToGrid w:val="0"/>
          <w:color w:val="000000" w:themeColor="text1"/>
          <w:spacing w:val="-2"/>
          <w:szCs w:val="24"/>
          <w14:textFill>
            <w14:solidFill>
              <w14:schemeClr w14:val="tx1"/>
            </w14:solidFill>
          </w14:textFill>
        </w:rPr>
        <w:t>其特点是危害大、影响范围</w:t>
      </w:r>
      <w:r>
        <w:rPr>
          <w:rFonts w:eastAsia="宋体"/>
          <w:snapToGrid w:val="0"/>
          <w:color w:val="000000" w:themeColor="text1"/>
          <w:spacing w:val="-1"/>
          <w:szCs w:val="24"/>
          <w14:textFill>
            <w14:solidFill>
              <w14:schemeClr w14:val="tx1"/>
            </w14:solidFill>
          </w14:textFill>
        </w:rPr>
        <w:t>广、发生概率具有很大的不确定性。环境风险评价的目的是分析</w:t>
      </w:r>
      <w:r>
        <w:rPr>
          <w:rFonts w:eastAsia="宋体"/>
          <w:snapToGrid w:val="0"/>
          <w:color w:val="000000" w:themeColor="text1"/>
          <w:spacing w:val="-2"/>
          <w:szCs w:val="24"/>
          <w14:textFill>
            <w14:solidFill>
              <w14:schemeClr w14:val="tx1"/>
            </w14:solidFill>
          </w14:textFill>
        </w:rPr>
        <w:t>和预测项目存在的潜</w:t>
      </w:r>
      <w:r>
        <w:rPr>
          <w:rFonts w:eastAsia="宋体"/>
          <w:snapToGrid w:val="0"/>
          <w:color w:val="000000" w:themeColor="text1"/>
          <w:spacing w:val="-1"/>
          <w:szCs w:val="24"/>
          <w14:textFill>
            <w14:solidFill>
              <w14:schemeClr w14:val="tx1"/>
            </w14:solidFill>
          </w14:textFill>
        </w:rPr>
        <w:t>在危险、有害因素，项目建设和运行期间可能发生的突发性事件</w:t>
      </w:r>
      <w:r>
        <w:rPr>
          <w:rFonts w:eastAsia="宋体"/>
          <w:snapToGrid w:val="0"/>
          <w:color w:val="000000" w:themeColor="text1"/>
          <w:spacing w:val="-2"/>
          <w:szCs w:val="24"/>
          <w14:textFill>
            <w14:solidFill>
              <w14:schemeClr w14:val="tx1"/>
            </w14:solidFill>
          </w14:textFill>
        </w:rPr>
        <w:t>或事故（一般不包括</w:t>
      </w:r>
      <w:r>
        <w:rPr>
          <w:rFonts w:eastAsia="宋体"/>
          <w:snapToGrid w:val="0"/>
          <w:color w:val="000000" w:themeColor="text1"/>
          <w:spacing w:val="-1"/>
          <w:szCs w:val="24"/>
          <w14:textFill>
            <w14:solidFill>
              <w14:schemeClr w14:val="tx1"/>
            </w14:solidFill>
          </w14:textFill>
        </w:rPr>
        <w:t>人为破坏和自然灾害）引起的有毒有害和易燃易爆等物质泄漏，</w:t>
      </w:r>
      <w:r>
        <w:rPr>
          <w:rFonts w:eastAsia="宋体"/>
          <w:snapToGrid w:val="0"/>
          <w:color w:val="000000" w:themeColor="text1"/>
          <w:spacing w:val="-2"/>
          <w:szCs w:val="24"/>
          <w14:textFill>
            <w14:solidFill>
              <w14:schemeClr w14:val="tx1"/>
            </w14:solidFill>
          </w14:textFill>
        </w:rPr>
        <w:t>所造成的人身安全、</w:t>
      </w:r>
      <w:r>
        <w:rPr>
          <w:rFonts w:eastAsia="宋体"/>
          <w:snapToGrid w:val="0"/>
          <w:color w:val="000000" w:themeColor="text1"/>
          <w:spacing w:val="-1"/>
          <w:szCs w:val="24"/>
          <w14:textFill>
            <w14:solidFill>
              <w14:schemeClr w14:val="tx1"/>
            </w14:solidFill>
          </w14:textFill>
        </w:rPr>
        <w:t>环境影响及其损害程度，提出合理的可行的防范、应急与减缓措</w:t>
      </w:r>
      <w:r>
        <w:rPr>
          <w:rFonts w:eastAsia="宋体"/>
          <w:snapToGrid w:val="0"/>
          <w:color w:val="000000" w:themeColor="text1"/>
          <w:spacing w:val="-2"/>
          <w:szCs w:val="24"/>
          <w14:textFill>
            <w14:solidFill>
              <w14:schemeClr w14:val="tx1"/>
            </w14:solidFill>
          </w14:textFill>
        </w:rPr>
        <w:t>施，以使建设项目事</w:t>
      </w:r>
      <w:r>
        <w:rPr>
          <w:rFonts w:eastAsia="宋体"/>
          <w:snapToGrid w:val="0"/>
          <w:color w:val="000000" w:themeColor="text1"/>
          <w:spacing w:val="-1"/>
          <w:szCs w:val="24"/>
          <w14:textFill>
            <w14:solidFill>
              <w14:schemeClr w14:val="tx1"/>
            </w14:solidFill>
          </w14:textFill>
        </w:rPr>
        <w:t>故率、损伤和环境影响达到可接受水平。</w:t>
      </w:r>
    </w:p>
    <w:p w14:paraId="659F40C1">
      <w:pPr>
        <w:pStyle w:val="168"/>
        <w:pageBreakBefore/>
        <w:spacing w:line="360" w:lineRule="auto"/>
        <w:ind w:firstLine="0" w:firstLineChars="0"/>
        <w:outlineLvl w:val="0"/>
        <w:rPr>
          <w:rFonts w:eastAsia="宋体"/>
          <w:snapToGrid w:val="0"/>
          <w:color w:val="000000" w:themeColor="text1"/>
          <w:szCs w:val="24"/>
          <w14:textFill>
            <w14:solidFill>
              <w14:schemeClr w14:val="tx1"/>
            </w14:solidFill>
          </w14:textFill>
        </w:rPr>
      </w:pPr>
      <w:bookmarkStart w:id="97" w:name="_Toc190758998"/>
      <w:bookmarkStart w:id="98" w:name="_Toc10706"/>
      <w:bookmarkStart w:id="99" w:name="_Toc192084905"/>
      <w:bookmarkStart w:id="100" w:name="_Toc1884"/>
      <w:bookmarkStart w:id="101" w:name="_Toc191543574"/>
      <w:r>
        <w:rPr>
          <w:rFonts w:eastAsia="宋体"/>
          <w:b/>
          <w:bCs/>
          <w:snapToGrid w:val="0"/>
          <w:color w:val="000000" w:themeColor="text1"/>
          <w:spacing w:val="-2"/>
          <w:szCs w:val="24"/>
          <w14:textFill>
            <w14:solidFill>
              <w14:schemeClr w14:val="tx1"/>
            </w14:solidFill>
          </w14:textFill>
        </w:rPr>
        <w:t>4. 项目概况与工程内容</w:t>
      </w:r>
      <w:bookmarkEnd w:id="97"/>
      <w:bookmarkEnd w:id="98"/>
      <w:bookmarkEnd w:id="99"/>
      <w:bookmarkEnd w:id="100"/>
      <w:bookmarkEnd w:id="101"/>
    </w:p>
    <w:p w14:paraId="32945C70">
      <w:pPr>
        <w:pStyle w:val="168"/>
        <w:spacing w:line="360" w:lineRule="auto"/>
        <w:ind w:firstLine="466"/>
        <w:rPr>
          <w:rFonts w:eastAsia="宋体"/>
          <w:snapToGrid w:val="0"/>
          <w:color w:val="000000" w:themeColor="text1"/>
          <w:szCs w:val="24"/>
          <w14:textFill>
            <w14:solidFill>
              <w14:schemeClr w14:val="tx1"/>
            </w14:solidFill>
          </w14:textFill>
        </w:rPr>
      </w:pPr>
      <w:r>
        <w:rPr>
          <w:rFonts w:eastAsia="宋体"/>
          <w:b/>
          <w:bCs/>
          <w:snapToGrid w:val="0"/>
          <w:color w:val="000000" w:themeColor="text1"/>
          <w:spacing w:val="-4"/>
          <w:szCs w:val="24"/>
          <w14:textFill>
            <w14:solidFill>
              <w14:schemeClr w14:val="tx1"/>
            </w14:solidFill>
          </w14:textFill>
        </w:rPr>
        <w:t>4.1 项目概况</w:t>
      </w:r>
    </w:p>
    <w:p w14:paraId="529BFCE8">
      <w:pPr>
        <w:pStyle w:val="168"/>
        <w:spacing w:line="360" w:lineRule="auto"/>
        <w:ind w:firstLine="496"/>
        <w:rPr>
          <w:rFonts w:hint="eastAsia" w:eastAsia="宋体"/>
          <w:snapToGrid w:val="0"/>
          <w:color w:val="000000" w:themeColor="text1"/>
          <w:szCs w:val="24"/>
          <w:lang w:eastAsia="zh-CN"/>
          <w14:textFill>
            <w14:solidFill>
              <w14:schemeClr w14:val="tx1"/>
            </w14:solidFill>
          </w14:textFill>
        </w:rPr>
      </w:pPr>
      <w:r>
        <w:rPr>
          <w:rFonts w:eastAsia="宋体"/>
          <w:snapToGrid w:val="0"/>
          <w:color w:val="000000" w:themeColor="text1"/>
          <w:spacing w:val="4"/>
          <w:szCs w:val="24"/>
          <w14:textFill>
            <w14:solidFill>
              <w14:schemeClr w14:val="tx1"/>
            </w14:solidFill>
          </w14:textFill>
        </w:rPr>
        <w:t>（1）项目名称：</w:t>
      </w:r>
      <w:r>
        <w:rPr>
          <w:rFonts w:hint="eastAsia" w:eastAsia="宋体"/>
          <w:snapToGrid w:val="0"/>
          <w:color w:val="000000" w:themeColor="text1"/>
          <w:spacing w:val="4"/>
          <w:szCs w:val="24"/>
          <w:lang w:eastAsia="zh-CN"/>
          <w14:textFill>
            <w14:solidFill>
              <w14:schemeClr w14:val="tx1"/>
            </w14:solidFill>
          </w14:textFill>
        </w:rPr>
        <w:t>黑龙江省沃科丰农业科技有限公司新建项目</w:t>
      </w:r>
    </w:p>
    <w:p w14:paraId="65FAD174">
      <w:pPr>
        <w:pStyle w:val="168"/>
        <w:spacing w:line="360" w:lineRule="auto"/>
        <w:ind w:firstLine="468"/>
        <w:rPr>
          <w:rFonts w:eastAsia="宋体"/>
          <w:snapToGrid w:val="0"/>
          <w:color w:val="000000" w:themeColor="text1"/>
          <w:szCs w:val="24"/>
          <w14:textFill>
            <w14:solidFill>
              <w14:schemeClr w14:val="tx1"/>
            </w14:solidFill>
          </w14:textFill>
        </w:rPr>
      </w:pPr>
      <w:r>
        <w:rPr>
          <w:rFonts w:eastAsia="宋体"/>
          <w:snapToGrid w:val="0"/>
          <w:color w:val="000000" w:themeColor="text1"/>
          <w:spacing w:val="-3"/>
          <w:szCs w:val="24"/>
          <w14:textFill>
            <w14:solidFill>
              <w14:schemeClr w14:val="tx1"/>
            </w14:solidFill>
          </w14:textFill>
        </w:rPr>
        <w:t>（2）建设性质：新建</w:t>
      </w:r>
    </w:p>
    <w:p w14:paraId="0AEF645B">
      <w:pPr>
        <w:pStyle w:val="168"/>
        <w:spacing w:line="360" w:lineRule="auto"/>
        <w:ind w:firstLine="476"/>
        <w:rPr>
          <w:rFonts w:eastAsia="宋体"/>
          <w:snapToGrid w:val="0"/>
          <w:color w:val="000000" w:themeColor="text1"/>
          <w:szCs w:val="24"/>
          <w14:textFill>
            <w14:solidFill>
              <w14:schemeClr w14:val="tx1"/>
            </w14:solidFill>
          </w14:textFill>
        </w:rPr>
      </w:pPr>
      <w:r>
        <w:rPr>
          <w:rFonts w:eastAsia="宋体"/>
          <w:snapToGrid w:val="0"/>
          <w:color w:val="000000" w:themeColor="text1"/>
          <w:spacing w:val="-1"/>
          <w:szCs w:val="24"/>
          <w14:textFill>
            <w14:solidFill>
              <w14:schemeClr w14:val="tx1"/>
            </w14:solidFill>
          </w14:textFill>
        </w:rPr>
        <w:t>（3）建设单位：</w:t>
      </w:r>
      <w:r>
        <w:rPr>
          <w:rFonts w:eastAsia="宋体"/>
          <w:snapToGrid w:val="0"/>
          <w:color w:val="000000" w:themeColor="text1"/>
          <w:spacing w:val="-3"/>
          <w:szCs w:val="24"/>
          <w14:textFill>
            <w14:solidFill>
              <w14:schemeClr w14:val="tx1"/>
            </w14:solidFill>
          </w14:textFill>
        </w:rPr>
        <w:t>黑龙江省沃科丰农业科技有限公司</w:t>
      </w:r>
    </w:p>
    <w:p w14:paraId="3D9251A9">
      <w:pPr>
        <w:pStyle w:val="168"/>
        <w:spacing w:line="360" w:lineRule="auto"/>
        <w:ind w:firstLine="476"/>
        <w:rPr>
          <w:rFonts w:eastAsia="宋体"/>
          <w:snapToGrid w:val="0"/>
          <w:color w:val="000000" w:themeColor="text1"/>
          <w:szCs w:val="24"/>
          <w14:textFill>
            <w14:solidFill>
              <w14:schemeClr w14:val="tx1"/>
            </w14:solidFill>
          </w14:textFill>
        </w:rPr>
      </w:pPr>
      <w:r>
        <w:rPr>
          <w:rFonts w:eastAsia="宋体"/>
          <w:snapToGrid w:val="0"/>
          <w:color w:val="000000" w:themeColor="text1"/>
          <w:spacing w:val="-1"/>
          <w:szCs w:val="24"/>
          <w14:textFill>
            <w14:solidFill>
              <w14:schemeClr w14:val="tx1"/>
            </w14:solidFill>
          </w14:textFill>
        </w:rPr>
        <w:t>（4）建设地点：黑龙江省双鸭山市四方台区河东街道</w:t>
      </w:r>
    </w:p>
    <w:p w14:paraId="75E51CBD">
      <w:pPr>
        <w:pStyle w:val="168"/>
        <w:spacing w:line="360" w:lineRule="auto"/>
        <w:ind w:firstLine="464"/>
        <w:rPr>
          <w:rFonts w:eastAsia="宋体"/>
          <w:snapToGrid w:val="0"/>
          <w:color w:val="000000" w:themeColor="text1"/>
          <w:sz w:val="15"/>
          <w:szCs w:val="15"/>
          <w14:textFill>
            <w14:solidFill>
              <w14:schemeClr w14:val="tx1"/>
            </w14:solidFill>
          </w14:textFill>
        </w:rPr>
      </w:pPr>
      <w:r>
        <w:rPr>
          <w:rFonts w:eastAsia="宋体"/>
          <w:snapToGrid w:val="0"/>
          <w:color w:val="000000" w:themeColor="text1"/>
          <w:spacing w:val="-4"/>
          <w:szCs w:val="24"/>
          <w14:textFill>
            <w14:solidFill>
              <w14:schemeClr w14:val="tx1"/>
            </w14:solidFill>
          </w14:textFill>
        </w:rPr>
        <w:t>（5）占地面积：</w:t>
      </w:r>
      <w:r>
        <w:rPr>
          <w:rFonts w:eastAsia="宋体"/>
          <w:color w:val="000000" w:themeColor="text1"/>
          <w:szCs w:val="24"/>
          <w14:textFill>
            <w14:solidFill>
              <w14:schemeClr w14:val="tx1"/>
            </w14:solidFill>
          </w14:textFill>
        </w:rPr>
        <w:t>16716</w:t>
      </w:r>
      <w:r>
        <w:rPr>
          <w:rFonts w:eastAsia="宋体"/>
          <w:snapToGrid w:val="0"/>
          <w:color w:val="000000" w:themeColor="text1"/>
          <w:spacing w:val="-4"/>
          <w:szCs w:val="24"/>
          <w14:textFill>
            <w14:solidFill>
              <w14:schemeClr w14:val="tx1"/>
            </w14:solidFill>
          </w14:textFill>
        </w:rPr>
        <w:t>m</w:t>
      </w:r>
      <w:r>
        <w:rPr>
          <w:rFonts w:eastAsia="宋体"/>
          <w:snapToGrid w:val="0"/>
          <w:color w:val="000000" w:themeColor="text1"/>
          <w:spacing w:val="-4"/>
          <w:position w:val="7"/>
          <w:sz w:val="15"/>
          <w:szCs w:val="15"/>
          <w14:textFill>
            <w14:solidFill>
              <w14:schemeClr w14:val="tx1"/>
            </w14:solidFill>
          </w14:textFill>
        </w:rPr>
        <w:t>2</w:t>
      </w:r>
    </w:p>
    <w:p w14:paraId="1BA29BC0">
      <w:pPr>
        <w:pStyle w:val="168"/>
        <w:spacing w:line="360" w:lineRule="auto"/>
        <w:ind w:firstLine="468"/>
        <w:rPr>
          <w:rFonts w:eastAsia="宋体"/>
          <w:snapToGrid w:val="0"/>
          <w:color w:val="000000" w:themeColor="text1"/>
          <w:szCs w:val="24"/>
          <w14:textFill>
            <w14:solidFill>
              <w14:schemeClr w14:val="tx1"/>
            </w14:solidFill>
          </w14:textFill>
        </w:rPr>
      </w:pPr>
      <w:r>
        <w:rPr>
          <w:rFonts w:eastAsia="宋体"/>
          <w:snapToGrid w:val="0"/>
          <w:color w:val="000000" w:themeColor="text1"/>
          <w:spacing w:val="-3"/>
          <w:szCs w:val="24"/>
          <w14:textFill>
            <w14:solidFill>
              <w14:schemeClr w14:val="tx1"/>
            </w14:solidFill>
          </w14:textFill>
        </w:rPr>
        <w:t>（6）总投资：</w:t>
      </w:r>
      <w:r>
        <w:rPr>
          <w:rFonts w:eastAsia="宋体"/>
          <w:color w:val="000000" w:themeColor="text1"/>
          <w:szCs w:val="24"/>
          <w14:textFill>
            <w14:solidFill>
              <w14:schemeClr w14:val="tx1"/>
            </w14:solidFill>
          </w14:textFill>
        </w:rPr>
        <w:t>200</w:t>
      </w:r>
      <w:r>
        <w:rPr>
          <w:rFonts w:eastAsia="宋体"/>
          <w:snapToGrid w:val="0"/>
          <w:color w:val="000000" w:themeColor="text1"/>
          <w:spacing w:val="-3"/>
          <w:szCs w:val="24"/>
          <w14:textFill>
            <w14:solidFill>
              <w14:schemeClr w14:val="tx1"/>
            </w14:solidFill>
          </w14:textFill>
        </w:rPr>
        <w:t>万元</w:t>
      </w:r>
    </w:p>
    <w:p w14:paraId="7C908F23">
      <w:pPr>
        <w:pStyle w:val="168"/>
        <w:spacing w:line="360" w:lineRule="auto"/>
        <w:ind w:firstLine="464"/>
        <w:rPr>
          <w:rFonts w:eastAsia="宋体"/>
          <w:color w:val="000000" w:themeColor="text1"/>
          <w14:textFill>
            <w14:solidFill>
              <w14:schemeClr w14:val="tx1"/>
            </w14:solidFill>
          </w14:textFill>
        </w:rPr>
      </w:pPr>
      <w:r>
        <w:rPr>
          <w:rFonts w:eastAsia="宋体"/>
          <w:snapToGrid w:val="0"/>
          <w:color w:val="000000" w:themeColor="text1"/>
          <w:spacing w:val="-4"/>
          <w:szCs w:val="24"/>
          <w14:textFill>
            <w14:solidFill>
              <w14:schemeClr w14:val="tx1"/>
            </w14:solidFill>
          </w14:textFill>
        </w:rPr>
        <w:t>（7）建设内容及规模：本项目为新建项目，项目位于黑龙江省双鸭山市四方台区河东街道，项目占地面积为16716m</w:t>
      </w:r>
      <w:r>
        <w:rPr>
          <w:rFonts w:eastAsia="宋体"/>
          <w:snapToGrid w:val="0"/>
          <w:color w:val="000000" w:themeColor="text1"/>
          <w:spacing w:val="-4"/>
          <w:szCs w:val="24"/>
          <w:vertAlign w:val="superscript"/>
          <w14:textFill>
            <w14:solidFill>
              <w14:schemeClr w14:val="tx1"/>
            </w14:solidFill>
          </w14:textFill>
        </w:rPr>
        <w:t>2</w:t>
      </w:r>
      <w:r>
        <w:rPr>
          <w:rFonts w:eastAsia="宋体"/>
          <w:snapToGrid w:val="0"/>
          <w:color w:val="000000" w:themeColor="text1"/>
          <w:spacing w:val="-4"/>
          <w:szCs w:val="24"/>
          <w14:textFill>
            <w14:solidFill>
              <w14:schemeClr w14:val="tx1"/>
            </w14:solidFill>
          </w14:textFill>
        </w:rPr>
        <w:t>，本项目租用现有空闲厂房、房屋进行设备安装及相关改造。主要建筑物包括生产车间、车库、门卫、原料库、成品库等。新建一条氮肥生产线，本项目建成后氮肥生产量为2000t/a。</w:t>
      </w:r>
      <w:r>
        <w:rPr>
          <w:rFonts w:eastAsia="宋体"/>
          <w:color w:val="000000" w:themeColor="text1"/>
          <w14:textFill>
            <w14:solidFill>
              <w14:schemeClr w14:val="tx1"/>
            </w14:solidFill>
          </w14:textFill>
        </w:rPr>
        <w:t>具体建设内容以及建设规模见下表。</w:t>
      </w:r>
    </w:p>
    <w:p w14:paraId="3197420F">
      <w:pPr>
        <w:pStyle w:val="1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项目组成及主要内容一览表</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3"/>
        <w:gridCol w:w="815"/>
        <w:gridCol w:w="6333"/>
        <w:gridCol w:w="1465"/>
      </w:tblGrid>
      <w:tr w14:paraId="34781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Align w:val="center"/>
          </w:tcPr>
          <w:p w14:paraId="5F2FD2AD">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p w14:paraId="2C64D48C">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类别</w:t>
            </w:r>
          </w:p>
        </w:tc>
        <w:tc>
          <w:tcPr>
            <w:tcW w:w="439" w:type="pct"/>
            <w:vAlign w:val="center"/>
          </w:tcPr>
          <w:p w14:paraId="58FEA4C6">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项目名称</w:t>
            </w:r>
          </w:p>
        </w:tc>
        <w:tc>
          <w:tcPr>
            <w:tcW w:w="3409" w:type="pct"/>
            <w:vAlign w:val="center"/>
          </w:tcPr>
          <w:p w14:paraId="4C67AF3C">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工程建设内容及规模</w:t>
            </w:r>
          </w:p>
        </w:tc>
        <w:tc>
          <w:tcPr>
            <w:tcW w:w="789" w:type="pct"/>
            <w:vAlign w:val="center"/>
          </w:tcPr>
          <w:p w14:paraId="00FFD52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备注</w:t>
            </w:r>
          </w:p>
        </w:tc>
      </w:tr>
      <w:tr w14:paraId="584854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Align w:val="center"/>
          </w:tcPr>
          <w:p w14:paraId="687276D8">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主体</w:t>
            </w:r>
          </w:p>
          <w:p w14:paraId="452BFDD1">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tc>
        <w:tc>
          <w:tcPr>
            <w:tcW w:w="439" w:type="pct"/>
            <w:vAlign w:val="center"/>
          </w:tcPr>
          <w:p w14:paraId="34C2EB55">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生产车间</w:t>
            </w:r>
          </w:p>
        </w:tc>
        <w:tc>
          <w:tcPr>
            <w:tcW w:w="3409" w:type="pct"/>
            <w:vAlign w:val="center"/>
          </w:tcPr>
          <w:p w14:paraId="7C7A16B5">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1层，高10米，建筑面积400m</w:t>
            </w:r>
            <w:r>
              <w:rPr>
                <w:rFonts w:eastAsia="宋体"/>
                <w:color w:val="000000" w:themeColor="text1"/>
                <w:sz w:val="24"/>
                <w:vertAlign w:val="superscript"/>
                <w14:textFill>
                  <w14:solidFill>
                    <w14:schemeClr w14:val="tx1"/>
                  </w14:solidFill>
                </w14:textFill>
              </w:rPr>
              <w:t>2</w:t>
            </w:r>
            <w:r>
              <w:rPr>
                <w:rFonts w:eastAsia="宋体"/>
                <w:color w:val="000000" w:themeColor="text1"/>
                <w:sz w:val="24"/>
                <w14:textFill>
                  <w14:solidFill>
                    <w14:schemeClr w14:val="tx1"/>
                  </w14:solidFill>
                </w14:textFill>
              </w:rPr>
              <w:t>，生产车间内新建一条氮肥生产线，主要生产设备为粉碎机、搅拌机等。</w:t>
            </w:r>
          </w:p>
        </w:tc>
        <w:tc>
          <w:tcPr>
            <w:tcW w:w="789" w:type="pct"/>
            <w:vAlign w:val="center"/>
          </w:tcPr>
          <w:p w14:paraId="6CB79806">
            <w:pPr>
              <w:pStyle w:val="39"/>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依托现有厂房</w:t>
            </w:r>
          </w:p>
        </w:tc>
      </w:tr>
      <w:tr w14:paraId="4DCD6B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362" w:type="pct"/>
            <w:vMerge w:val="restart"/>
            <w:vAlign w:val="center"/>
          </w:tcPr>
          <w:p w14:paraId="6C5A51DC">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储运</w:t>
            </w:r>
          </w:p>
          <w:p w14:paraId="2C12378A">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tc>
        <w:tc>
          <w:tcPr>
            <w:tcW w:w="439" w:type="pct"/>
            <w:vAlign w:val="center"/>
          </w:tcPr>
          <w:p w14:paraId="73CFBEF9">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原料库</w:t>
            </w:r>
          </w:p>
        </w:tc>
        <w:tc>
          <w:tcPr>
            <w:tcW w:w="3409" w:type="pct"/>
            <w:vAlign w:val="center"/>
          </w:tcPr>
          <w:p w14:paraId="3591BF6A">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1层，高5米，建筑面积为2400m</w:t>
            </w:r>
            <w:r>
              <w:rPr>
                <w:rFonts w:eastAsia="宋体"/>
                <w:color w:val="000000" w:themeColor="text1"/>
                <w:sz w:val="24"/>
                <w:vertAlign w:val="superscript"/>
                <w14:textFill>
                  <w14:solidFill>
                    <w14:schemeClr w14:val="tx1"/>
                  </w14:solidFill>
                </w14:textFill>
              </w:rPr>
              <w:t>2</w:t>
            </w:r>
            <w:r>
              <w:rPr>
                <w:rFonts w:eastAsia="宋体"/>
                <w:color w:val="000000" w:themeColor="text1"/>
                <w:sz w:val="24"/>
                <w14:textFill>
                  <w14:solidFill>
                    <w14:schemeClr w14:val="tx1"/>
                  </w14:solidFill>
                </w14:textFill>
              </w:rPr>
              <w:t>。主要存储原料，原料库房最大贮存量为2400t，硫酸铵袋装存于原料库房。</w:t>
            </w:r>
          </w:p>
        </w:tc>
        <w:tc>
          <w:tcPr>
            <w:tcW w:w="789" w:type="pct"/>
            <w:vAlign w:val="center"/>
          </w:tcPr>
          <w:p w14:paraId="7A4E4B86">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依托现有厂房</w:t>
            </w:r>
          </w:p>
        </w:tc>
      </w:tr>
      <w:tr w14:paraId="0A7727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362" w:type="pct"/>
            <w:vMerge w:val="continue"/>
            <w:vAlign w:val="center"/>
          </w:tcPr>
          <w:p w14:paraId="10E5AFBD">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01FFA2A4">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成品库</w:t>
            </w:r>
          </w:p>
        </w:tc>
        <w:tc>
          <w:tcPr>
            <w:tcW w:w="3409" w:type="pct"/>
            <w:vAlign w:val="center"/>
          </w:tcPr>
          <w:p w14:paraId="0631FF9C">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1层，高7米，建筑面积为4000m</w:t>
            </w:r>
            <w:r>
              <w:rPr>
                <w:rFonts w:eastAsia="宋体"/>
                <w:color w:val="000000" w:themeColor="text1"/>
                <w:sz w:val="24"/>
                <w:vertAlign w:val="superscript"/>
                <w14:textFill>
                  <w14:solidFill>
                    <w14:schemeClr w14:val="tx1"/>
                  </w14:solidFill>
                </w14:textFill>
              </w:rPr>
              <w:t>2</w:t>
            </w:r>
            <w:r>
              <w:rPr>
                <w:rFonts w:eastAsia="宋体"/>
                <w:color w:val="000000" w:themeColor="text1"/>
                <w:sz w:val="24"/>
                <w14:textFill>
                  <w14:solidFill>
                    <w14:schemeClr w14:val="tx1"/>
                  </w14:solidFill>
                </w14:textFill>
              </w:rPr>
              <w:t>。主要存储化肥成品，最大贮存量为3000t。</w:t>
            </w:r>
          </w:p>
        </w:tc>
        <w:tc>
          <w:tcPr>
            <w:tcW w:w="789" w:type="pct"/>
            <w:vAlign w:val="center"/>
          </w:tcPr>
          <w:p w14:paraId="0FFB675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新建</w:t>
            </w:r>
          </w:p>
        </w:tc>
      </w:tr>
      <w:tr w14:paraId="7FDE5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362" w:type="pct"/>
            <w:vMerge w:val="restart"/>
            <w:vAlign w:val="center"/>
          </w:tcPr>
          <w:p w14:paraId="28225D65">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辅助</w:t>
            </w:r>
          </w:p>
          <w:p w14:paraId="79F031B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tc>
        <w:tc>
          <w:tcPr>
            <w:tcW w:w="439" w:type="pct"/>
            <w:vAlign w:val="center"/>
          </w:tcPr>
          <w:p w14:paraId="69AB6DAD">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门卫室</w:t>
            </w:r>
          </w:p>
        </w:tc>
        <w:tc>
          <w:tcPr>
            <w:tcW w:w="3409" w:type="pct"/>
            <w:vAlign w:val="center"/>
          </w:tcPr>
          <w:p w14:paraId="5B01EC2E">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2层，高7米，总</w:t>
            </w:r>
            <w:r>
              <w:rPr>
                <w:rStyle w:val="105"/>
                <w:rFonts w:ascii="Times New Roman" w:eastAsia="宋体"/>
                <w:color w:val="000000" w:themeColor="text1"/>
                <w14:textFill>
                  <w14:solidFill>
                    <w14:schemeClr w14:val="tx1"/>
                  </w14:solidFill>
                </w14:textFill>
              </w:rPr>
              <w:t>建筑面积600</w:t>
            </w:r>
            <w:r>
              <w:rPr>
                <w:rFonts w:eastAsia="宋体"/>
                <w:color w:val="000000" w:themeColor="text1"/>
                <w:sz w:val="24"/>
                <w14:textFill>
                  <w14:solidFill>
                    <w14:schemeClr w14:val="tx1"/>
                  </w14:solidFill>
                </w14:textFill>
              </w:rPr>
              <w:t>m</w:t>
            </w:r>
            <w:r>
              <w:rPr>
                <w:rFonts w:eastAsia="宋体"/>
                <w:color w:val="000000" w:themeColor="text1"/>
                <w:sz w:val="24"/>
                <w:vertAlign w:val="superscript"/>
                <w14:textFill>
                  <w14:solidFill>
                    <w14:schemeClr w14:val="tx1"/>
                  </w14:solidFill>
                </w14:textFill>
              </w:rPr>
              <w:t>2</w:t>
            </w:r>
            <w:r>
              <w:rPr>
                <w:rStyle w:val="105"/>
                <w:rFonts w:ascii="Times New Roman" w:eastAsia="宋体"/>
                <w:color w:val="000000" w:themeColor="text1"/>
                <w14:textFill>
                  <w14:solidFill>
                    <w14:schemeClr w14:val="tx1"/>
                  </w14:solidFill>
                </w14:textFill>
              </w:rPr>
              <w:t>，用于厂内办公。</w:t>
            </w:r>
          </w:p>
        </w:tc>
        <w:tc>
          <w:tcPr>
            <w:tcW w:w="789" w:type="pct"/>
            <w:vAlign w:val="center"/>
          </w:tcPr>
          <w:p w14:paraId="038DCD3A">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依托现有厂房</w:t>
            </w:r>
          </w:p>
        </w:tc>
      </w:tr>
      <w:tr w14:paraId="294C4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62" w:type="pct"/>
            <w:vMerge w:val="continue"/>
            <w:vAlign w:val="center"/>
          </w:tcPr>
          <w:p w14:paraId="42ED3FFD">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4952E98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闲置库房</w:t>
            </w:r>
          </w:p>
        </w:tc>
        <w:tc>
          <w:tcPr>
            <w:tcW w:w="3409" w:type="pct"/>
            <w:vAlign w:val="center"/>
          </w:tcPr>
          <w:p w14:paraId="328EC2C5">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均为1层，高5米，闲置库房1、2、3、4、5，总</w:t>
            </w:r>
            <w:r>
              <w:rPr>
                <w:rStyle w:val="105"/>
                <w:rFonts w:ascii="Times New Roman" w:eastAsia="宋体"/>
                <w:color w:val="000000" w:themeColor="text1"/>
                <w14:textFill>
                  <w14:solidFill>
                    <w14:schemeClr w14:val="tx1"/>
                  </w14:solidFill>
                </w14:textFill>
              </w:rPr>
              <w:t>建筑面积1000</w:t>
            </w:r>
            <w:r>
              <w:rPr>
                <w:rFonts w:eastAsia="宋体"/>
                <w:color w:val="000000" w:themeColor="text1"/>
                <w:sz w:val="24"/>
                <w14:textFill>
                  <w14:solidFill>
                    <w14:schemeClr w14:val="tx1"/>
                  </w14:solidFill>
                </w14:textFill>
              </w:rPr>
              <w:t>m</w:t>
            </w:r>
            <w:r>
              <w:rPr>
                <w:rFonts w:eastAsia="宋体"/>
                <w:color w:val="000000" w:themeColor="text1"/>
                <w:sz w:val="24"/>
                <w:vertAlign w:val="superscript"/>
                <w14:textFill>
                  <w14:solidFill>
                    <w14:schemeClr w14:val="tx1"/>
                  </w14:solidFill>
                </w14:textFill>
              </w:rPr>
              <w:t>2</w:t>
            </w:r>
            <w:r>
              <w:rPr>
                <w:rStyle w:val="105"/>
                <w:rFonts w:ascii="Times New Roman" w:eastAsia="宋体"/>
                <w:color w:val="000000" w:themeColor="text1"/>
                <w14:textFill>
                  <w14:solidFill>
                    <w14:schemeClr w14:val="tx1"/>
                  </w14:solidFill>
                </w14:textFill>
              </w:rPr>
              <w:t>，用于存放工具。</w:t>
            </w:r>
          </w:p>
        </w:tc>
        <w:tc>
          <w:tcPr>
            <w:tcW w:w="789" w:type="pct"/>
            <w:vAlign w:val="center"/>
          </w:tcPr>
          <w:p w14:paraId="109541ED">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依托现有厂房</w:t>
            </w:r>
          </w:p>
        </w:tc>
      </w:tr>
      <w:tr w14:paraId="76B48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362" w:type="pct"/>
            <w:vMerge w:val="continue"/>
            <w:vAlign w:val="center"/>
          </w:tcPr>
          <w:p w14:paraId="3CF673A8">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4C57FBC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车库</w:t>
            </w:r>
          </w:p>
        </w:tc>
        <w:tc>
          <w:tcPr>
            <w:tcW w:w="3409" w:type="pct"/>
            <w:vAlign w:val="center"/>
          </w:tcPr>
          <w:p w14:paraId="4360DDD8">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1层，高10米，总</w:t>
            </w:r>
            <w:r>
              <w:rPr>
                <w:rStyle w:val="105"/>
                <w:rFonts w:ascii="Times New Roman" w:eastAsia="宋体"/>
                <w:color w:val="000000" w:themeColor="text1"/>
                <w14:textFill>
                  <w14:solidFill>
                    <w14:schemeClr w14:val="tx1"/>
                  </w14:solidFill>
                </w14:textFill>
              </w:rPr>
              <w:t>建筑面积250</w:t>
            </w:r>
            <w:r>
              <w:rPr>
                <w:rFonts w:eastAsia="宋体"/>
                <w:color w:val="000000" w:themeColor="text1"/>
                <w:sz w:val="24"/>
                <w14:textFill>
                  <w14:solidFill>
                    <w14:schemeClr w14:val="tx1"/>
                  </w14:solidFill>
                </w14:textFill>
              </w:rPr>
              <w:t>m</w:t>
            </w:r>
            <w:r>
              <w:rPr>
                <w:rFonts w:eastAsia="宋体"/>
                <w:color w:val="000000" w:themeColor="text1"/>
                <w:sz w:val="24"/>
                <w:vertAlign w:val="superscript"/>
                <w14:textFill>
                  <w14:solidFill>
                    <w14:schemeClr w14:val="tx1"/>
                  </w14:solidFill>
                </w14:textFill>
              </w:rPr>
              <w:t>2</w:t>
            </w:r>
            <w:r>
              <w:rPr>
                <w:rStyle w:val="105"/>
                <w:rFonts w:ascii="Times New Roman" w:eastAsia="宋体"/>
                <w:color w:val="000000" w:themeColor="text1"/>
                <w14:textFill>
                  <w14:solidFill>
                    <w14:schemeClr w14:val="tx1"/>
                  </w14:solidFill>
                </w14:textFill>
              </w:rPr>
              <w:t>，用于停放车辆。</w:t>
            </w:r>
          </w:p>
        </w:tc>
        <w:tc>
          <w:tcPr>
            <w:tcW w:w="789" w:type="pct"/>
            <w:vAlign w:val="center"/>
          </w:tcPr>
          <w:p w14:paraId="3A80CA6B">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依托现有厂房</w:t>
            </w:r>
          </w:p>
        </w:tc>
      </w:tr>
      <w:tr w14:paraId="68E310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restart"/>
            <w:vAlign w:val="center"/>
          </w:tcPr>
          <w:p w14:paraId="72C82376">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公用</w:t>
            </w:r>
          </w:p>
          <w:p w14:paraId="7DEADDB6">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工程</w:t>
            </w:r>
          </w:p>
        </w:tc>
        <w:tc>
          <w:tcPr>
            <w:tcW w:w="439" w:type="pct"/>
            <w:vAlign w:val="center"/>
          </w:tcPr>
          <w:p w14:paraId="2B78333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供水</w:t>
            </w:r>
          </w:p>
        </w:tc>
        <w:tc>
          <w:tcPr>
            <w:tcW w:w="3409" w:type="pct"/>
            <w:vAlign w:val="center"/>
          </w:tcPr>
          <w:p w14:paraId="15150CED">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本项目生产不用水，职工生活用水外购桶装水。</w:t>
            </w:r>
          </w:p>
        </w:tc>
        <w:tc>
          <w:tcPr>
            <w:tcW w:w="789" w:type="pct"/>
            <w:vAlign w:val="center"/>
          </w:tcPr>
          <w:p w14:paraId="4DF0C0AB">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w:t>
            </w:r>
          </w:p>
        </w:tc>
      </w:tr>
      <w:tr w14:paraId="4BF4D0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2AD6459F">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7E5C5912">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排水</w:t>
            </w:r>
          </w:p>
        </w:tc>
        <w:tc>
          <w:tcPr>
            <w:tcW w:w="3409" w:type="pct"/>
            <w:vAlign w:val="center"/>
          </w:tcPr>
          <w:p w14:paraId="7ECA1917">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本项目建成后无生产废水排放。生活污水排入防渗旱厕，定期清掏。</w:t>
            </w:r>
          </w:p>
        </w:tc>
        <w:tc>
          <w:tcPr>
            <w:tcW w:w="789" w:type="pct"/>
            <w:vAlign w:val="center"/>
          </w:tcPr>
          <w:p w14:paraId="1FE9EA7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新建</w:t>
            </w:r>
          </w:p>
        </w:tc>
      </w:tr>
      <w:tr w14:paraId="43645F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57733D58">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29C02A90">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供暖</w:t>
            </w:r>
          </w:p>
        </w:tc>
        <w:tc>
          <w:tcPr>
            <w:tcW w:w="3409" w:type="pct"/>
            <w:vAlign w:val="center"/>
          </w:tcPr>
          <w:p w14:paraId="575C359C">
            <w:pPr>
              <w:adjustRightInd w:val="0"/>
              <w:snapToGrid w:val="0"/>
              <w:rPr>
                <w:rFonts w:hint="eastAsia" w:eastAsia="宋体"/>
                <w:color w:val="000000" w:themeColor="text1"/>
                <w:sz w:val="24"/>
                <w:lang w:eastAsia="zh-CN"/>
                <w14:textFill>
                  <w14:solidFill>
                    <w14:schemeClr w14:val="tx1"/>
                  </w14:solidFill>
                </w14:textFill>
              </w:rPr>
            </w:pPr>
            <w:r>
              <w:rPr>
                <w:rFonts w:eastAsia="宋体"/>
                <w:color w:val="000000" w:themeColor="text1"/>
                <w:sz w:val="24"/>
                <w14:textFill>
                  <w14:solidFill>
                    <w14:schemeClr w14:val="tx1"/>
                  </w14:solidFill>
                </w14:textFill>
              </w:rPr>
              <w:t>本项目冬季</w:t>
            </w:r>
            <w:r>
              <w:rPr>
                <w:rFonts w:hint="eastAsia" w:eastAsia="宋体"/>
                <w:color w:val="000000" w:themeColor="text1"/>
                <w:sz w:val="24"/>
                <w:lang w:eastAsia="zh-CN"/>
                <w14:textFill>
                  <w14:solidFill>
                    <w14:schemeClr w14:val="tx1"/>
                  </w14:solidFill>
                </w14:textFill>
              </w:rPr>
              <w:t>电采暖</w:t>
            </w:r>
          </w:p>
        </w:tc>
        <w:tc>
          <w:tcPr>
            <w:tcW w:w="789" w:type="pct"/>
            <w:vAlign w:val="center"/>
          </w:tcPr>
          <w:p w14:paraId="74F3F9AF">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r w14:paraId="07FF7A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34B7BF25">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65119E1A">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供电</w:t>
            </w:r>
          </w:p>
        </w:tc>
        <w:tc>
          <w:tcPr>
            <w:tcW w:w="3409" w:type="pct"/>
            <w:vAlign w:val="center"/>
          </w:tcPr>
          <w:p w14:paraId="69D84CE8">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项目用电由当地供电所提供，能够满足本项目用电。</w:t>
            </w:r>
          </w:p>
        </w:tc>
        <w:tc>
          <w:tcPr>
            <w:tcW w:w="789" w:type="pct"/>
            <w:vAlign w:val="center"/>
          </w:tcPr>
          <w:p w14:paraId="550F8728">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依托</w:t>
            </w:r>
          </w:p>
        </w:tc>
      </w:tr>
      <w:tr w14:paraId="22A1F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07A301F4">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5AF5AE50">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废气</w:t>
            </w:r>
          </w:p>
        </w:tc>
        <w:tc>
          <w:tcPr>
            <w:tcW w:w="3409" w:type="pct"/>
            <w:vAlign w:val="center"/>
          </w:tcPr>
          <w:p w14:paraId="0A44B034">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生产车间在粉碎、进料口、筛分、包装工序产生的粉尘，通过集气罩收集，经管道输送至布袋除尘器处理后，通过15米排气筒（DA001）排放。车间厂房保持密闭，确保厂界颗粒物排放符合《大气污染物综合排放标准》（GB16297-1996）表2中的无组织排放标准。</w:t>
            </w:r>
          </w:p>
        </w:tc>
        <w:tc>
          <w:tcPr>
            <w:tcW w:w="789" w:type="pct"/>
            <w:vAlign w:val="center"/>
          </w:tcPr>
          <w:p w14:paraId="45471FC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新建</w:t>
            </w:r>
          </w:p>
        </w:tc>
      </w:tr>
      <w:tr w14:paraId="43E35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1345F9A8">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7137EDA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废水防治措施</w:t>
            </w:r>
          </w:p>
        </w:tc>
        <w:tc>
          <w:tcPr>
            <w:tcW w:w="3409" w:type="pct"/>
            <w:vAlign w:val="center"/>
          </w:tcPr>
          <w:p w14:paraId="5BCB3FF8">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本项目建成后无生产废水排放。生活污水排入防渗旱厕，定期清掏。</w:t>
            </w:r>
          </w:p>
        </w:tc>
        <w:tc>
          <w:tcPr>
            <w:tcW w:w="789" w:type="pct"/>
            <w:vAlign w:val="center"/>
          </w:tcPr>
          <w:p w14:paraId="55D47E87">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新建</w:t>
            </w:r>
          </w:p>
        </w:tc>
      </w:tr>
      <w:tr w14:paraId="4413D4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5CE73746">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15E621AA">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噪声防治措施</w:t>
            </w:r>
          </w:p>
        </w:tc>
        <w:tc>
          <w:tcPr>
            <w:tcW w:w="3409" w:type="pct"/>
            <w:vAlign w:val="center"/>
          </w:tcPr>
          <w:p w14:paraId="57606D52">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本项目建成后，选用低噪声设备，通过减振、隔声、降噪、加强管理和设备合理布局等措施，厂界噪声满足《工业企业厂界环境噪声排放标准》（GB12348-2008）中2类标准要求。</w:t>
            </w:r>
          </w:p>
        </w:tc>
        <w:tc>
          <w:tcPr>
            <w:tcW w:w="789" w:type="pct"/>
            <w:vAlign w:val="center"/>
          </w:tcPr>
          <w:p w14:paraId="0B300473">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r w14:paraId="297C7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2" w:type="pct"/>
            <w:vMerge w:val="continue"/>
            <w:vAlign w:val="center"/>
          </w:tcPr>
          <w:p w14:paraId="3B362535">
            <w:pPr>
              <w:adjustRightInd w:val="0"/>
              <w:snapToGrid w:val="0"/>
              <w:jc w:val="center"/>
              <w:rPr>
                <w:rFonts w:eastAsia="宋体"/>
                <w:color w:val="000000" w:themeColor="text1"/>
                <w:sz w:val="24"/>
                <w14:textFill>
                  <w14:solidFill>
                    <w14:schemeClr w14:val="tx1"/>
                  </w14:solidFill>
                </w14:textFill>
              </w:rPr>
            </w:pPr>
          </w:p>
        </w:tc>
        <w:tc>
          <w:tcPr>
            <w:tcW w:w="439" w:type="pct"/>
            <w:vAlign w:val="center"/>
          </w:tcPr>
          <w:p w14:paraId="6ED7CFBB">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固体</w:t>
            </w:r>
          </w:p>
          <w:p w14:paraId="430641DE">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废物防治措施</w:t>
            </w:r>
          </w:p>
        </w:tc>
        <w:tc>
          <w:tcPr>
            <w:tcW w:w="3409" w:type="pct"/>
            <w:vAlign w:val="center"/>
          </w:tcPr>
          <w:p w14:paraId="1E607C9A">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①布袋除尘器收集的粉尘集中收集后回用于生产。</w:t>
            </w:r>
          </w:p>
          <w:p w14:paraId="26CDCF78">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②原料废包装袋统一收集后外售综合利用。</w:t>
            </w:r>
          </w:p>
          <w:p w14:paraId="30E96BE1">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③废布袋集中收集，厂家定期回收。</w:t>
            </w:r>
          </w:p>
          <w:p w14:paraId="76EC9045">
            <w:pPr>
              <w:adjustRightInd w:val="0"/>
              <w:snapToGrid w:val="0"/>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④生活垃圾集中收集，由市政部门统一清运。</w:t>
            </w:r>
          </w:p>
          <w:p w14:paraId="57781FAA">
            <w:pPr>
              <w:widowControl/>
              <w:jc w:val="left"/>
              <w:rPr>
                <w:rFonts w:eastAsia="宋体"/>
                <w:color w:val="000000" w:themeColor="text1"/>
                <w:sz w:val="24"/>
                <w14:textFill>
                  <w14:solidFill>
                    <w14:schemeClr w14:val="tx1"/>
                  </w14:solidFill>
                </w14:textFill>
              </w:rPr>
            </w:pPr>
          </w:p>
        </w:tc>
        <w:tc>
          <w:tcPr>
            <w:tcW w:w="789" w:type="pct"/>
            <w:vAlign w:val="center"/>
          </w:tcPr>
          <w:p w14:paraId="5FE1BA5D">
            <w:pPr>
              <w:adjustRightInd w:val="0"/>
              <w:snapToGrid w:val="0"/>
              <w:jc w:val="center"/>
              <w:rPr>
                <w:rFonts w:eastAsia="宋体"/>
                <w:color w:val="000000" w:themeColor="text1"/>
                <w:sz w:val="24"/>
                <w14:textFill>
                  <w14:solidFill>
                    <w14:schemeClr w14:val="tx1"/>
                  </w14:solidFill>
                </w14:textFill>
              </w:rPr>
            </w:pPr>
            <w:r>
              <w:rPr>
                <w:rFonts w:eastAsia="宋体"/>
                <w:color w:val="000000" w:themeColor="text1"/>
                <w:sz w:val="24"/>
                <w14:textFill>
                  <w14:solidFill>
                    <w14:schemeClr w14:val="tx1"/>
                  </w14:solidFill>
                </w14:textFill>
              </w:rPr>
              <w:t>/</w:t>
            </w:r>
          </w:p>
        </w:tc>
      </w:tr>
    </w:tbl>
    <w:p w14:paraId="7A9B49AD">
      <w:pPr>
        <w:pStyle w:val="181"/>
        <w:ind w:firstLine="480"/>
        <w:rPr>
          <w:rFonts w:cs="Times New Roman"/>
          <w:color w:val="000000" w:themeColor="text1"/>
          <w14:textFill>
            <w14:solidFill>
              <w14:schemeClr w14:val="tx1"/>
            </w14:solidFill>
          </w14:textFill>
        </w:rPr>
      </w:pPr>
    </w:p>
    <w:p w14:paraId="5E2D5070">
      <w:pPr>
        <w:pStyle w:val="181"/>
        <w:ind w:firstLine="480"/>
        <w:rPr>
          <w:rFonts w:cs="Times New Roman"/>
          <w:color w:val="000000" w:themeColor="text1"/>
          <w14:textFill>
            <w14:solidFill>
              <w14:schemeClr w14:val="tx1"/>
            </w14:solidFill>
          </w14:textFill>
        </w:rPr>
      </w:pPr>
    </w:p>
    <w:p w14:paraId="465817EE">
      <w:pPr>
        <w:pStyle w:val="181"/>
        <w:ind w:firstLine="480"/>
        <w:rPr>
          <w:rFonts w:cs="Times New Roman"/>
          <w:color w:val="000000" w:themeColor="text1"/>
          <w14:textFill>
            <w14:solidFill>
              <w14:schemeClr w14:val="tx1"/>
            </w14:solidFill>
          </w14:textFill>
        </w:rPr>
      </w:pPr>
    </w:p>
    <w:p w14:paraId="5C412B0D">
      <w:pPr>
        <w:pStyle w:val="181"/>
        <w:ind w:firstLine="480"/>
        <w:rPr>
          <w:rFonts w:cs="Times New Roman"/>
          <w:color w:val="000000" w:themeColor="text1"/>
          <w14:textFill>
            <w14:solidFill>
              <w14:schemeClr w14:val="tx1"/>
            </w14:solidFill>
          </w14:textFill>
        </w:rPr>
      </w:pPr>
    </w:p>
    <w:p w14:paraId="7D21FD7B">
      <w:pPr>
        <w:pStyle w:val="168"/>
        <w:pageBreakBefore/>
        <w:spacing w:line="360" w:lineRule="auto"/>
        <w:ind w:firstLine="0" w:firstLineChars="0"/>
        <w:outlineLvl w:val="0"/>
        <w:rPr>
          <w:rFonts w:eastAsia="宋体"/>
          <w:snapToGrid w:val="0"/>
          <w:color w:val="000000" w:themeColor="text1"/>
          <w:szCs w:val="24"/>
          <w14:textFill>
            <w14:solidFill>
              <w14:schemeClr w14:val="tx1"/>
            </w14:solidFill>
          </w14:textFill>
        </w:rPr>
      </w:pPr>
      <w:bookmarkStart w:id="102" w:name="_Toc191543575"/>
      <w:bookmarkStart w:id="103" w:name="_Toc2223"/>
      <w:bookmarkStart w:id="104" w:name="_Toc192084906"/>
      <w:bookmarkStart w:id="105" w:name="_Toc12977"/>
      <w:bookmarkStart w:id="106" w:name="_Toc190758999"/>
      <w:r>
        <w:rPr>
          <w:rFonts w:eastAsia="宋体"/>
          <w:snapToGrid w:val="0"/>
          <w:color w:val="000000" w:themeColor="text1"/>
          <w:spacing w:val="-4"/>
          <w:szCs w:val="24"/>
          <w14:textFill>
            <w14:solidFill>
              <w14:schemeClr w14:val="tx1"/>
            </w14:solidFill>
          </w14:textFill>
        </w:rPr>
        <w:t xml:space="preserve">5. </w:t>
      </w:r>
      <w:r>
        <w:rPr>
          <w:rFonts w:eastAsia="宋体"/>
          <w:b/>
          <w:bCs/>
          <w:snapToGrid w:val="0"/>
          <w:color w:val="000000" w:themeColor="text1"/>
          <w:spacing w:val="-4"/>
          <w:szCs w:val="24"/>
          <w14:textFill>
            <w14:solidFill>
              <w14:schemeClr w14:val="tx1"/>
            </w14:solidFill>
          </w14:textFill>
        </w:rPr>
        <w:t>风险调查</w:t>
      </w:r>
      <w:bookmarkEnd w:id="102"/>
      <w:bookmarkEnd w:id="103"/>
      <w:bookmarkEnd w:id="104"/>
      <w:bookmarkEnd w:id="105"/>
      <w:bookmarkEnd w:id="106"/>
    </w:p>
    <w:p w14:paraId="11DC4F23">
      <w:pPr>
        <w:pStyle w:val="168"/>
        <w:spacing w:line="360" w:lineRule="auto"/>
        <w:ind w:firstLine="474"/>
        <w:rPr>
          <w:rFonts w:eastAsia="宋体"/>
          <w:snapToGrid w:val="0"/>
          <w:color w:val="000000" w:themeColor="text1"/>
          <w:szCs w:val="24"/>
          <w14:textFill>
            <w14:solidFill>
              <w14:schemeClr w14:val="tx1"/>
            </w14:solidFill>
          </w14:textFill>
        </w:rPr>
      </w:pPr>
      <w:r>
        <w:rPr>
          <w:rFonts w:eastAsia="宋体"/>
          <w:b/>
          <w:bCs/>
          <w:snapToGrid w:val="0"/>
          <w:color w:val="000000" w:themeColor="text1"/>
          <w:spacing w:val="-2"/>
          <w:szCs w:val="24"/>
          <w14:textFill>
            <w14:solidFill>
              <w14:schemeClr w14:val="tx1"/>
            </w14:solidFill>
          </w14:textFill>
        </w:rPr>
        <w:t>5.1 建设项目风险源调查</w:t>
      </w:r>
    </w:p>
    <w:p w14:paraId="387A5EB2">
      <w:pPr>
        <w:pStyle w:val="168"/>
        <w:spacing w:line="360" w:lineRule="auto"/>
        <w:ind w:firstLine="474"/>
        <w:rPr>
          <w:rFonts w:eastAsia="宋体"/>
          <w:snapToGrid w:val="0"/>
          <w:color w:val="000000" w:themeColor="text1"/>
          <w:szCs w:val="24"/>
          <w14:textFill>
            <w14:solidFill>
              <w14:schemeClr w14:val="tx1"/>
            </w14:solidFill>
          </w14:textFill>
        </w:rPr>
      </w:pPr>
      <w:r>
        <w:rPr>
          <w:rFonts w:eastAsia="宋体"/>
          <w:b/>
          <w:bCs/>
          <w:snapToGrid w:val="0"/>
          <w:color w:val="000000" w:themeColor="text1"/>
          <w:spacing w:val="-2"/>
          <w:szCs w:val="24"/>
          <w14:textFill>
            <w14:solidFill>
              <w14:schemeClr w14:val="tx1"/>
            </w14:solidFill>
          </w14:textFill>
        </w:rPr>
        <w:t>5.1.1 危险物质数量和分布情况</w:t>
      </w:r>
    </w:p>
    <w:p w14:paraId="686C68FA">
      <w:pPr>
        <w:pStyle w:val="147"/>
        <w:ind w:firstLine="468"/>
        <w:rPr>
          <w:color w:val="000000" w:themeColor="text1"/>
          <w14:textFill>
            <w14:solidFill>
              <w14:schemeClr w14:val="tx1"/>
            </w14:solidFill>
          </w14:textFill>
        </w:rPr>
      </w:pPr>
      <w:r>
        <w:rPr>
          <w:color w:val="000000" w:themeColor="text1"/>
          <w:spacing w:val="-3"/>
          <w14:textFill>
            <w14:solidFill>
              <w14:schemeClr w14:val="tx1"/>
            </w14:solidFill>
          </w14:textFill>
        </w:rPr>
        <w:t>根据《建设项目环境风险评价技术导则》（HJ1</w:t>
      </w:r>
      <w:r>
        <w:rPr>
          <w:color w:val="000000" w:themeColor="text1"/>
          <w:spacing w:val="-4"/>
          <w14:textFill>
            <w14:solidFill>
              <w14:schemeClr w14:val="tx1"/>
            </w14:solidFill>
          </w14:textFill>
        </w:rPr>
        <w:t>69-2018）附录B，项目涉及的危</w:t>
      </w:r>
      <w:r>
        <w:rPr>
          <w:color w:val="000000" w:themeColor="text1"/>
          <w:spacing w:val="-1"/>
          <w14:textFill>
            <w14:solidFill>
              <w14:schemeClr w14:val="tx1"/>
            </w14:solidFill>
          </w14:textFill>
        </w:rPr>
        <w:t>险物质为硫酸铵，其数量与分布情况见下表。</w:t>
      </w:r>
    </w:p>
    <w:p w14:paraId="7499AF97">
      <w:pPr>
        <w:pStyle w:val="1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危险物质数量和分布情况</w:t>
      </w:r>
    </w:p>
    <w:tbl>
      <w:tblPr>
        <w:tblStyle w:val="171"/>
        <w:tblW w:w="9059" w:type="dxa"/>
        <w:tblInd w:w="8"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2059"/>
        <w:gridCol w:w="2262"/>
        <w:gridCol w:w="2093"/>
        <w:gridCol w:w="2645"/>
      </w:tblGrid>
      <w:tr w14:paraId="4A31A87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PrEx>
        <w:trPr>
          <w:trHeight w:val="280" w:hRule="atLeast"/>
        </w:trPr>
        <w:tc>
          <w:tcPr>
            <w:tcW w:w="2059" w:type="dxa"/>
            <w:tcBorders>
              <w:tl2br w:val="nil"/>
              <w:tr2bl w:val="nil"/>
            </w:tcBorders>
          </w:tcPr>
          <w:p w14:paraId="2F5FAC06">
            <w:pPr>
              <w:kinsoku w:val="0"/>
              <w:autoSpaceDE w:val="0"/>
              <w:autoSpaceDN w:val="0"/>
              <w:adjustRightInd w:val="0"/>
              <w:snapToGrid w:val="0"/>
              <w:spacing w:before="36" w:line="216" w:lineRule="auto"/>
              <w:ind w:left="61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物料种类</w:t>
            </w:r>
          </w:p>
        </w:tc>
        <w:tc>
          <w:tcPr>
            <w:tcW w:w="2262" w:type="dxa"/>
            <w:tcBorders>
              <w:tl2br w:val="nil"/>
              <w:tr2bl w:val="nil"/>
            </w:tcBorders>
          </w:tcPr>
          <w:p w14:paraId="681DE925">
            <w:pPr>
              <w:kinsoku w:val="0"/>
              <w:autoSpaceDE w:val="0"/>
              <w:autoSpaceDN w:val="0"/>
              <w:adjustRightInd w:val="0"/>
              <w:snapToGrid w:val="0"/>
              <w:spacing w:before="36" w:line="216" w:lineRule="auto"/>
              <w:ind w:left="72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5"/>
                <w:kern w:val="0"/>
                <w:sz w:val="20"/>
                <w:szCs w:val="20"/>
                <w:lang w:eastAsia="en-US"/>
                <w14:textFill>
                  <w14:solidFill>
                    <w14:schemeClr w14:val="tx1"/>
                  </w14:solidFill>
                </w14:textFill>
              </w:rPr>
              <w:t>存在量(t)</w:t>
            </w:r>
          </w:p>
        </w:tc>
        <w:tc>
          <w:tcPr>
            <w:tcW w:w="2093" w:type="dxa"/>
            <w:tcBorders>
              <w:tl2br w:val="nil"/>
              <w:tr2bl w:val="nil"/>
            </w:tcBorders>
          </w:tcPr>
          <w:p w14:paraId="4FD3503B">
            <w:pPr>
              <w:kinsoku w:val="0"/>
              <w:autoSpaceDE w:val="0"/>
              <w:autoSpaceDN w:val="0"/>
              <w:adjustRightInd w:val="0"/>
              <w:snapToGrid w:val="0"/>
              <w:spacing w:before="36" w:line="216" w:lineRule="auto"/>
              <w:ind w:left="63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储存类型</w:t>
            </w:r>
          </w:p>
        </w:tc>
        <w:tc>
          <w:tcPr>
            <w:tcW w:w="2645" w:type="dxa"/>
            <w:tcBorders>
              <w:tl2br w:val="nil"/>
              <w:tr2bl w:val="nil"/>
            </w:tcBorders>
          </w:tcPr>
          <w:p w14:paraId="7416B273">
            <w:pPr>
              <w:kinsoku w:val="0"/>
              <w:autoSpaceDE w:val="0"/>
              <w:autoSpaceDN w:val="0"/>
              <w:adjustRightInd w:val="0"/>
              <w:snapToGrid w:val="0"/>
              <w:spacing w:before="36" w:line="216" w:lineRule="auto"/>
              <w:ind w:left="1121"/>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备注</w:t>
            </w:r>
          </w:p>
        </w:tc>
      </w:tr>
      <w:tr w14:paraId="2096A81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059" w:type="dxa"/>
            <w:tcBorders>
              <w:tl2br w:val="nil"/>
              <w:tr2bl w:val="nil"/>
            </w:tcBorders>
          </w:tcPr>
          <w:p w14:paraId="472C4383">
            <w:pPr>
              <w:kinsoku w:val="0"/>
              <w:autoSpaceDE w:val="0"/>
              <w:autoSpaceDN w:val="0"/>
              <w:adjustRightInd w:val="0"/>
              <w:snapToGrid w:val="0"/>
              <w:spacing w:before="34" w:line="214" w:lineRule="auto"/>
              <w:ind w:left="72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硫酸铵</w:t>
            </w:r>
          </w:p>
        </w:tc>
        <w:tc>
          <w:tcPr>
            <w:tcW w:w="2262" w:type="dxa"/>
            <w:tcBorders>
              <w:tl2br w:val="nil"/>
              <w:tr2bl w:val="nil"/>
            </w:tcBorders>
          </w:tcPr>
          <w:p w14:paraId="024CE965">
            <w:pPr>
              <w:widowControl/>
              <w:kinsoku w:val="0"/>
              <w:autoSpaceDE w:val="0"/>
              <w:autoSpaceDN w:val="0"/>
              <w:adjustRightInd w:val="0"/>
              <w:snapToGrid w:val="0"/>
              <w:spacing w:before="69" w:line="195" w:lineRule="auto"/>
              <w:ind w:left="846"/>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3"/>
                <w:kern w:val="0"/>
                <w:sz w:val="20"/>
                <w:szCs w:val="20"/>
                <w14:textFill>
                  <w14:solidFill>
                    <w14:schemeClr w14:val="tx1"/>
                  </w14:solidFill>
                </w14:textFill>
              </w:rPr>
              <w:t>84</w:t>
            </w:r>
          </w:p>
        </w:tc>
        <w:tc>
          <w:tcPr>
            <w:tcW w:w="2093" w:type="dxa"/>
            <w:tcBorders>
              <w:tl2br w:val="nil"/>
              <w:tr2bl w:val="nil"/>
            </w:tcBorders>
          </w:tcPr>
          <w:p w14:paraId="6D787814">
            <w:pPr>
              <w:kinsoku w:val="0"/>
              <w:autoSpaceDE w:val="0"/>
              <w:autoSpaceDN w:val="0"/>
              <w:adjustRightInd w:val="0"/>
              <w:snapToGrid w:val="0"/>
              <w:spacing w:before="34" w:line="214" w:lineRule="auto"/>
              <w:ind w:left="638"/>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6"/>
                <w:kern w:val="0"/>
                <w:sz w:val="20"/>
                <w:szCs w:val="20"/>
                <w:lang w:eastAsia="en-US"/>
                <w14:textFill>
                  <w14:solidFill>
                    <w14:schemeClr w14:val="tx1"/>
                  </w14:solidFill>
                </w14:textFill>
              </w:rPr>
              <w:t>原料库房</w:t>
            </w:r>
          </w:p>
        </w:tc>
        <w:tc>
          <w:tcPr>
            <w:tcW w:w="2645" w:type="dxa"/>
            <w:tcBorders>
              <w:tl2br w:val="nil"/>
              <w:tr2bl w:val="nil"/>
            </w:tcBorders>
          </w:tcPr>
          <w:p w14:paraId="29F8604A">
            <w:pPr>
              <w:widowControl/>
              <w:kinsoku w:val="0"/>
              <w:autoSpaceDE w:val="0"/>
              <w:autoSpaceDN w:val="0"/>
              <w:adjustRightInd w:val="0"/>
              <w:snapToGrid w:val="0"/>
              <w:spacing w:before="65" w:line="199" w:lineRule="auto"/>
              <w:ind w:left="129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w:t>
            </w:r>
          </w:p>
        </w:tc>
      </w:tr>
    </w:tbl>
    <w:p w14:paraId="3D9A1543">
      <w:pPr>
        <w:widowControl/>
        <w:kinsoku w:val="0"/>
        <w:autoSpaceDE w:val="0"/>
        <w:autoSpaceDN w:val="0"/>
        <w:adjustRightInd w:val="0"/>
        <w:snapToGrid w:val="0"/>
        <w:spacing w:before="151" w:line="362" w:lineRule="auto"/>
        <w:ind w:left="125" w:right="118" w:firstLine="419"/>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6"/>
          <w:kern w:val="0"/>
          <w:sz w:val="20"/>
          <w:szCs w:val="20"/>
          <w14:textFill>
            <w14:solidFill>
              <w14:schemeClr w14:val="tx1"/>
            </w14:solidFill>
          </w14:textFill>
        </w:rPr>
        <w:t>注：使用的肥硫酸铵的小时用量为1.05t，</w:t>
      </w:r>
      <w:r>
        <w:rPr>
          <w:rFonts w:eastAsia="宋体"/>
          <w:snapToGrid w:val="0"/>
          <w:color w:val="000000" w:themeColor="text1"/>
          <w:spacing w:val="8"/>
          <w:kern w:val="0"/>
          <w:sz w:val="20"/>
          <w:szCs w:val="20"/>
          <w14:textFill>
            <w14:solidFill>
              <w14:schemeClr w14:val="tx1"/>
            </w14:solidFill>
          </w14:textFill>
        </w:rPr>
        <w:t>原料均为袋装入库，贮存天数约10天。</w:t>
      </w:r>
    </w:p>
    <w:p w14:paraId="4A435D65">
      <w:pPr>
        <w:pStyle w:val="147"/>
        <w:ind w:firstLine="474"/>
        <w:rPr>
          <w:color w:val="000000" w:themeColor="text1"/>
          <w14:textFill>
            <w14:solidFill>
              <w14:schemeClr w14:val="tx1"/>
            </w14:solidFill>
          </w14:textFill>
        </w:rPr>
      </w:pPr>
      <w:r>
        <w:rPr>
          <w:b/>
          <w:bCs/>
          <w:color w:val="000000" w:themeColor="text1"/>
          <w:spacing w:val="-2"/>
          <w14:textFill>
            <w14:solidFill>
              <w14:schemeClr w14:val="tx1"/>
            </w14:solidFill>
          </w14:textFill>
        </w:rPr>
        <w:t>5.1.2生产工艺特点</w:t>
      </w:r>
    </w:p>
    <w:p w14:paraId="0C46F75D">
      <w:pPr>
        <w:pStyle w:val="147"/>
        <w:ind w:firstLine="476"/>
        <w:rPr>
          <w:color w:val="000000" w:themeColor="text1"/>
          <w14:textFill>
            <w14:solidFill>
              <w14:schemeClr w14:val="tx1"/>
            </w14:solidFill>
          </w14:textFill>
        </w:rPr>
      </w:pPr>
      <w:r>
        <w:rPr>
          <w:color w:val="000000" w:themeColor="text1"/>
          <w:spacing w:val="-1"/>
          <w14:textFill>
            <w14:solidFill>
              <w14:schemeClr w14:val="tx1"/>
            </w14:solidFill>
          </w14:textFill>
        </w:rPr>
        <w:t>挤压造粒是借助于机械压力而使物料团聚成型的造粒</w:t>
      </w:r>
      <w:r>
        <w:rPr>
          <w:color w:val="000000" w:themeColor="text1"/>
          <w:spacing w:val="-2"/>
          <w14:textFill>
            <w14:solidFill>
              <w14:schemeClr w14:val="tx1"/>
            </w14:solidFill>
          </w14:textFill>
        </w:rPr>
        <w:t>过程，亦称干法造粒；转鼓</w:t>
      </w:r>
      <w:r>
        <w:rPr>
          <w:color w:val="000000" w:themeColor="text1"/>
          <w:spacing w:val="-1"/>
          <w14:textFill>
            <w14:solidFill>
              <w14:schemeClr w14:val="tx1"/>
            </w14:solidFill>
          </w14:textFill>
        </w:rPr>
        <w:t>造粒是原料经粉碎至一定细度后，物料在转鼓造粒机</w:t>
      </w:r>
      <w:r>
        <w:rPr>
          <w:color w:val="000000" w:themeColor="text1"/>
          <w:spacing w:val="-2"/>
          <w14:textFill>
            <w14:solidFill>
              <w14:schemeClr w14:val="tx1"/>
            </w14:solidFill>
          </w14:textFill>
        </w:rPr>
        <w:t>的滚动床内通</w:t>
      </w:r>
      <w:r>
        <w:rPr>
          <w:color w:val="000000" w:themeColor="text1"/>
          <w14:textFill>
            <w14:solidFill>
              <w14:schemeClr w14:val="tx1"/>
            </w14:solidFill>
          </w14:textFill>
        </w:rPr>
        <w:t>过增湿、加热进行团聚造粒，本项目转鼓复混肥的生产工</w:t>
      </w:r>
      <w:r>
        <w:rPr>
          <w:color w:val="000000" w:themeColor="text1"/>
          <w:spacing w:val="-1"/>
          <w14:textFill>
            <w14:solidFill>
              <w14:schemeClr w14:val="tx1"/>
            </w14:solidFill>
          </w14:textFill>
        </w:rPr>
        <w:t>艺为蒸汽转鼓造粒法。</w:t>
      </w:r>
    </w:p>
    <w:p w14:paraId="10C301F9">
      <w:pPr>
        <w:pStyle w:val="1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3</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项目生产工艺及特点</w:t>
      </w:r>
    </w:p>
    <w:tbl>
      <w:tblPr>
        <w:tblStyle w:val="171"/>
        <w:tblW w:w="9060" w:type="dxa"/>
        <w:tblInd w:w="8"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903"/>
        <w:gridCol w:w="1594"/>
        <w:gridCol w:w="3718"/>
        <w:gridCol w:w="2845"/>
      </w:tblGrid>
      <w:tr w14:paraId="53E13AD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03" w:type="dxa"/>
            <w:tcBorders>
              <w:tl2br w:val="nil"/>
              <w:tr2bl w:val="nil"/>
            </w:tcBorders>
          </w:tcPr>
          <w:p w14:paraId="52E9A8C4">
            <w:pPr>
              <w:kinsoku w:val="0"/>
              <w:autoSpaceDE w:val="0"/>
              <w:autoSpaceDN w:val="0"/>
              <w:adjustRightInd w:val="0"/>
              <w:snapToGrid w:val="0"/>
              <w:spacing w:before="78" w:line="229" w:lineRule="auto"/>
              <w:ind w:left="115"/>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序号</w:t>
            </w:r>
          </w:p>
        </w:tc>
        <w:tc>
          <w:tcPr>
            <w:tcW w:w="1594" w:type="dxa"/>
            <w:tcBorders>
              <w:tl2br w:val="nil"/>
              <w:tr2bl w:val="nil"/>
            </w:tcBorders>
          </w:tcPr>
          <w:p w14:paraId="29B9FAFA">
            <w:pPr>
              <w:kinsoku w:val="0"/>
              <w:autoSpaceDE w:val="0"/>
              <w:autoSpaceDN w:val="0"/>
              <w:adjustRightInd w:val="0"/>
              <w:snapToGrid w:val="0"/>
              <w:spacing w:before="78" w:line="228" w:lineRule="auto"/>
              <w:ind w:left="379"/>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产品名称</w:t>
            </w:r>
          </w:p>
        </w:tc>
        <w:tc>
          <w:tcPr>
            <w:tcW w:w="3718" w:type="dxa"/>
            <w:tcBorders>
              <w:tl2br w:val="nil"/>
              <w:tr2bl w:val="nil"/>
            </w:tcBorders>
          </w:tcPr>
          <w:p w14:paraId="4A4848F7">
            <w:pPr>
              <w:kinsoku w:val="0"/>
              <w:autoSpaceDE w:val="0"/>
              <w:autoSpaceDN w:val="0"/>
              <w:adjustRightInd w:val="0"/>
              <w:snapToGrid w:val="0"/>
              <w:spacing w:before="78" w:line="228" w:lineRule="auto"/>
              <w:ind w:left="92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生产工艺及工艺特点</w:t>
            </w:r>
          </w:p>
        </w:tc>
        <w:tc>
          <w:tcPr>
            <w:tcW w:w="2845" w:type="dxa"/>
            <w:tcBorders>
              <w:tl2br w:val="nil"/>
              <w:tr2bl w:val="nil"/>
            </w:tcBorders>
          </w:tcPr>
          <w:p w14:paraId="73F41C51">
            <w:pPr>
              <w:kinsoku w:val="0"/>
              <w:autoSpaceDE w:val="0"/>
              <w:autoSpaceDN w:val="0"/>
              <w:adjustRightInd w:val="0"/>
              <w:snapToGrid w:val="0"/>
              <w:spacing w:before="79" w:line="228" w:lineRule="auto"/>
              <w:ind w:left="904"/>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涉及危险项</w:t>
            </w:r>
          </w:p>
        </w:tc>
      </w:tr>
      <w:tr w14:paraId="2BD53F6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903" w:type="dxa"/>
            <w:tcBorders>
              <w:tl2br w:val="nil"/>
              <w:tr2bl w:val="nil"/>
            </w:tcBorders>
          </w:tcPr>
          <w:p w14:paraId="6C224A3D">
            <w:pPr>
              <w:widowControl/>
              <w:kinsoku w:val="0"/>
              <w:autoSpaceDE w:val="0"/>
              <w:autoSpaceDN w:val="0"/>
              <w:adjustRightInd w:val="0"/>
              <w:snapToGrid w:val="0"/>
              <w:spacing w:before="70" w:line="195" w:lineRule="auto"/>
              <w:ind w:left="42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1</w:t>
            </w:r>
          </w:p>
        </w:tc>
        <w:tc>
          <w:tcPr>
            <w:tcW w:w="1594" w:type="dxa"/>
            <w:tcBorders>
              <w:tl2br w:val="nil"/>
              <w:tr2bl w:val="nil"/>
            </w:tcBorders>
          </w:tcPr>
          <w:p w14:paraId="61AA8DBD">
            <w:pPr>
              <w:kinsoku w:val="0"/>
              <w:autoSpaceDE w:val="0"/>
              <w:autoSpaceDN w:val="0"/>
              <w:adjustRightInd w:val="0"/>
              <w:snapToGrid w:val="0"/>
              <w:spacing w:before="34" w:line="217" w:lineRule="auto"/>
              <w:ind w:left="484"/>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硫酸铵</w:t>
            </w:r>
          </w:p>
        </w:tc>
        <w:tc>
          <w:tcPr>
            <w:tcW w:w="3718" w:type="dxa"/>
            <w:tcBorders>
              <w:tl2br w:val="nil"/>
              <w:tr2bl w:val="nil"/>
            </w:tcBorders>
          </w:tcPr>
          <w:p w14:paraId="289FEECA">
            <w:pPr>
              <w:kinsoku w:val="0"/>
              <w:autoSpaceDE w:val="0"/>
              <w:autoSpaceDN w:val="0"/>
              <w:adjustRightInd w:val="0"/>
              <w:snapToGrid w:val="0"/>
              <w:spacing w:before="34" w:line="217" w:lineRule="auto"/>
              <w:ind w:left="1135"/>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原料以袋装入库</w:t>
            </w:r>
          </w:p>
        </w:tc>
        <w:tc>
          <w:tcPr>
            <w:tcW w:w="2845" w:type="dxa"/>
            <w:tcBorders>
              <w:tl2br w:val="nil"/>
              <w:tr2bl w:val="nil"/>
            </w:tcBorders>
          </w:tcPr>
          <w:p w14:paraId="0A275C17">
            <w:pPr>
              <w:kinsoku w:val="0"/>
              <w:autoSpaceDE w:val="0"/>
              <w:autoSpaceDN w:val="0"/>
              <w:adjustRightInd w:val="0"/>
              <w:snapToGrid w:val="0"/>
              <w:spacing w:before="34" w:line="217" w:lineRule="auto"/>
              <w:ind w:left="799"/>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危险物质贮存</w:t>
            </w:r>
          </w:p>
        </w:tc>
      </w:tr>
    </w:tbl>
    <w:p w14:paraId="4BC2EF59">
      <w:pPr>
        <w:pStyle w:val="147"/>
        <w:ind w:firstLine="474"/>
        <w:rPr>
          <w:color w:val="000000" w:themeColor="text1"/>
          <w14:textFill>
            <w14:solidFill>
              <w14:schemeClr w14:val="tx1"/>
            </w14:solidFill>
          </w14:textFill>
        </w:rPr>
      </w:pPr>
      <w:r>
        <w:rPr>
          <w:b/>
          <w:bCs/>
          <w:color w:val="000000" w:themeColor="text1"/>
          <w:spacing w:val="-2"/>
          <w14:textFill>
            <w14:solidFill>
              <w14:schemeClr w14:val="tx1"/>
            </w14:solidFill>
          </w14:textFill>
        </w:rPr>
        <w:t>5.1.3危险物质安全技术说明书（MSDS）</w:t>
      </w:r>
    </w:p>
    <w:p w14:paraId="6C8BA7EF">
      <w:pPr>
        <w:pStyle w:val="1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硫酸铵安全技术说明书（MSDS）</w:t>
      </w:r>
    </w:p>
    <w:tbl>
      <w:tblPr>
        <w:tblStyle w:val="3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14:paraId="4C0138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879" w:hRule="atLeast"/>
        </w:trPr>
        <w:tc>
          <w:tcPr>
            <w:tcW w:w="3098" w:type="dxa"/>
            <w:tcBorders>
              <w:tl2br w:val="nil"/>
              <w:tr2bl w:val="nil"/>
            </w:tcBorders>
            <w:vAlign w:val="center"/>
          </w:tcPr>
          <w:p w14:paraId="0EC541EF">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物质名称</w:t>
            </w:r>
          </w:p>
        </w:tc>
        <w:tc>
          <w:tcPr>
            <w:tcW w:w="3098" w:type="dxa"/>
            <w:tcBorders>
              <w:tl2br w:val="nil"/>
              <w:tr2bl w:val="nil"/>
            </w:tcBorders>
            <w:vAlign w:val="center"/>
          </w:tcPr>
          <w:p w14:paraId="377809E6">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化学品中文名称：硫酸铵CAS：7783-20-2</w:t>
            </w:r>
          </w:p>
        </w:tc>
        <w:tc>
          <w:tcPr>
            <w:tcW w:w="3098" w:type="dxa"/>
            <w:tcBorders>
              <w:tl2br w:val="nil"/>
              <w:tr2bl w:val="nil"/>
            </w:tcBorders>
            <w:vAlign w:val="center"/>
          </w:tcPr>
          <w:p w14:paraId="077A5888">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化学品英文名称：Ammoniumsulfate</w:t>
            </w:r>
          </w:p>
          <w:p w14:paraId="524ACB1C">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分子式：(NH</w:t>
            </w:r>
            <w:r>
              <w:rPr>
                <w:rFonts w:eastAsia="宋体"/>
                <w:snapToGrid w:val="0"/>
                <w:color w:val="000000" w:themeColor="text1"/>
                <w:spacing w:val="6"/>
                <w:kern w:val="0"/>
                <w:szCs w:val="20"/>
                <w:vertAlign w:val="subscript"/>
                <w:lang w:eastAsia="en-US"/>
                <w14:textFill>
                  <w14:solidFill>
                    <w14:schemeClr w14:val="tx1"/>
                  </w14:solidFill>
                </w14:textFill>
              </w:rPr>
              <w:t>4</w:t>
            </w:r>
            <w:r>
              <w:rPr>
                <w:rFonts w:eastAsia="宋体"/>
                <w:snapToGrid w:val="0"/>
                <w:color w:val="000000" w:themeColor="text1"/>
                <w:spacing w:val="6"/>
                <w:kern w:val="0"/>
                <w:szCs w:val="20"/>
                <w:lang w:eastAsia="en-US"/>
                <w14:textFill>
                  <w14:solidFill>
                    <w14:schemeClr w14:val="tx1"/>
                  </w14:solidFill>
                </w14:textFill>
              </w:rPr>
              <w:t>)</w:t>
            </w:r>
            <w:r>
              <w:rPr>
                <w:rFonts w:eastAsia="宋体"/>
                <w:snapToGrid w:val="0"/>
                <w:color w:val="000000" w:themeColor="text1"/>
                <w:spacing w:val="6"/>
                <w:kern w:val="0"/>
                <w:szCs w:val="20"/>
                <w:vertAlign w:val="subscript"/>
                <w:lang w:eastAsia="en-US"/>
                <w14:textFill>
                  <w14:solidFill>
                    <w14:schemeClr w14:val="tx1"/>
                  </w14:solidFill>
                </w14:textFill>
              </w:rPr>
              <w:t>2</w:t>
            </w:r>
            <w:r>
              <w:rPr>
                <w:rFonts w:eastAsia="宋体"/>
                <w:snapToGrid w:val="0"/>
                <w:color w:val="000000" w:themeColor="text1"/>
                <w:spacing w:val="6"/>
                <w:kern w:val="0"/>
                <w:szCs w:val="20"/>
                <w:lang w:eastAsia="en-US"/>
                <w14:textFill>
                  <w14:solidFill>
                    <w14:schemeClr w14:val="tx1"/>
                  </w14:solidFill>
                </w14:textFill>
              </w:rPr>
              <w:t>SO</w:t>
            </w:r>
            <w:r>
              <w:rPr>
                <w:rFonts w:eastAsia="宋体"/>
                <w:snapToGrid w:val="0"/>
                <w:color w:val="000000" w:themeColor="text1"/>
                <w:spacing w:val="6"/>
                <w:kern w:val="0"/>
                <w:szCs w:val="20"/>
                <w:vertAlign w:val="subscript"/>
                <w:lang w:eastAsia="en-US"/>
                <w14:textFill>
                  <w14:solidFill>
                    <w14:schemeClr w14:val="tx1"/>
                  </w14:solidFill>
                </w14:textFill>
              </w:rPr>
              <w:t>4</w:t>
            </w:r>
            <w:r>
              <w:rPr>
                <w:rFonts w:eastAsia="宋体"/>
                <w:snapToGrid w:val="0"/>
                <w:color w:val="000000" w:themeColor="text1"/>
                <w:spacing w:val="6"/>
                <w:kern w:val="0"/>
                <w:szCs w:val="20"/>
                <w:lang w:eastAsia="en-US"/>
                <w14:textFill>
                  <w14:solidFill>
                    <w14:schemeClr w14:val="tx1"/>
                  </w14:solidFill>
                </w14:textFill>
              </w:rPr>
              <w:t>分子量：132.14</w:t>
            </w:r>
          </w:p>
        </w:tc>
      </w:tr>
      <w:tr w14:paraId="47BFD7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3E0DB2D5">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理化性质</w:t>
            </w:r>
          </w:p>
        </w:tc>
        <w:tc>
          <w:tcPr>
            <w:tcW w:w="6196" w:type="dxa"/>
            <w:gridSpan w:val="2"/>
            <w:tcBorders>
              <w:tl2br w:val="nil"/>
              <w:tr2bl w:val="nil"/>
            </w:tcBorders>
            <w:vAlign w:val="center"/>
          </w:tcPr>
          <w:p w14:paraId="1C1943B7">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外观与性状：纯品为无色斜方晶体，工业品为白色至淡黄色结晶体。</w:t>
            </w:r>
          </w:p>
          <w:p w14:paraId="69EFBE60">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熔点(℃)：140沸点(℃)：无资料</w:t>
            </w:r>
          </w:p>
          <w:p w14:paraId="02A88E7D">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相对密度（水=1）：1.77相对蒸气密度（空气=1）：无资料</w:t>
            </w:r>
          </w:p>
          <w:p w14:paraId="5CC20554">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饱和蒸汽压（kPa）：无资料临界温度(℃)：无资料</w:t>
            </w:r>
          </w:p>
          <w:p w14:paraId="10EF4085">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临界压力（MPa）：无资料闪点(℃)：无意义</w:t>
            </w:r>
          </w:p>
          <w:p w14:paraId="75566455">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引燃温度(℃)：无意义爆炸下限（%）：无意义</w:t>
            </w:r>
          </w:p>
          <w:p w14:paraId="364AABC8">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爆炸上限（%）：无意义溶解性：水中溶解度0℃时70.6g，100℃时103.8g；不溶于乙醇和丙酮。</w:t>
            </w:r>
          </w:p>
          <w:p w14:paraId="1521DDF9">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用途：主要用作肥料，适用于各种土壤和作物。</w:t>
            </w:r>
            <w:r>
              <w:rPr>
                <w:rFonts w:eastAsia="宋体"/>
                <w:snapToGrid w:val="0"/>
                <w:color w:val="000000" w:themeColor="text1"/>
                <w:spacing w:val="6"/>
                <w:kern w:val="0"/>
                <w:szCs w:val="20"/>
                <w14:textFill>
                  <w14:solidFill>
                    <w14:schemeClr w14:val="tx1"/>
                  </w14:solidFill>
                </w14:textFill>
              </w:rPr>
              <w:t>还可用于纺织、皮革、医药等方面</w:t>
            </w:r>
          </w:p>
        </w:tc>
      </w:tr>
      <w:tr w14:paraId="12469F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6AF2B5C7">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稳定性和反应活性</w:t>
            </w:r>
          </w:p>
        </w:tc>
        <w:tc>
          <w:tcPr>
            <w:tcW w:w="6196" w:type="dxa"/>
            <w:gridSpan w:val="2"/>
            <w:tcBorders>
              <w:tl2br w:val="nil"/>
              <w:tr2bl w:val="nil"/>
            </w:tcBorders>
          </w:tcPr>
          <w:p w14:paraId="6EF7F553">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稳定性：/，聚合危害：/</w:t>
            </w:r>
          </w:p>
          <w:p w14:paraId="6BD63F30">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禁忌物：强酸、强碱。</w:t>
            </w:r>
          </w:p>
        </w:tc>
      </w:tr>
      <w:tr w14:paraId="05D56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431B1A28">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操作处置与储存</w:t>
            </w:r>
          </w:p>
        </w:tc>
        <w:tc>
          <w:tcPr>
            <w:tcW w:w="6196" w:type="dxa"/>
            <w:gridSpan w:val="2"/>
            <w:tcBorders>
              <w:tl2br w:val="nil"/>
              <w:tr2bl w:val="nil"/>
            </w:tcBorders>
            <w:vAlign w:val="center"/>
          </w:tcPr>
          <w:p w14:paraId="7EBDCC02">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密闭操作，局部排风。操作人员必须经过专门培训，严格遵守操作规程。建议操作人员佩戴自吸过滤式防尘口罩，戴化学安全防护眼镜，穿防毒物渗透工作服，戴橡胶手套。避免产生粉尘。避免与酸类、碱类接触。搬运时要轻装轻卸，防止包装及容器损坏。配备泄漏应急处理设备。倒空的容器可能残留有害物。</w:t>
            </w:r>
          </w:p>
          <w:p w14:paraId="1A7FB637">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储存于阴凉、通风的库房。远离火种、热源。应与酸类、碱类分开存放，切忌混储。储区应备有合适的材料收容泄漏物。</w:t>
            </w:r>
          </w:p>
        </w:tc>
      </w:tr>
      <w:tr w14:paraId="0ECA8A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2A55B97E">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毒理性及危险性概述</w:t>
            </w:r>
          </w:p>
        </w:tc>
        <w:tc>
          <w:tcPr>
            <w:tcW w:w="6196" w:type="dxa"/>
            <w:gridSpan w:val="2"/>
            <w:tcBorders>
              <w:tl2br w:val="nil"/>
              <w:tr2bl w:val="nil"/>
            </w:tcBorders>
            <w:vAlign w:val="center"/>
          </w:tcPr>
          <w:p w14:paraId="47161F92">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毒性：急性毒性</w:t>
            </w:r>
          </w:p>
          <w:p w14:paraId="0061C0B6">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危险性特性：本品不燃，具刺激性。</w:t>
            </w:r>
          </w:p>
          <w:p w14:paraId="3F95D263">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健康危害：对眼睛、黏膜和皮肤有刺激作用。</w:t>
            </w:r>
          </w:p>
        </w:tc>
      </w:tr>
      <w:tr w14:paraId="2548C5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02172F0D">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泄漏应急处理</w:t>
            </w:r>
          </w:p>
        </w:tc>
        <w:tc>
          <w:tcPr>
            <w:tcW w:w="6196" w:type="dxa"/>
            <w:gridSpan w:val="2"/>
            <w:tcBorders>
              <w:tl2br w:val="nil"/>
              <w:tr2bl w:val="nil"/>
            </w:tcBorders>
          </w:tcPr>
          <w:p w14:paraId="08A4C09D">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隔离泄漏污染区，限制出入。建议应急处理人员戴防尘面具(全面罩)，穿防毒服。用洁净的铲子收集于干燥、洁净、有盖的容器中，转移至安全场所。若大量泄漏，收集回收或运至废物处理场所处置。</w:t>
            </w:r>
          </w:p>
        </w:tc>
      </w:tr>
      <w:tr w14:paraId="23838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255DDFC7">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急救措施</w:t>
            </w:r>
          </w:p>
        </w:tc>
        <w:tc>
          <w:tcPr>
            <w:tcW w:w="6196" w:type="dxa"/>
            <w:gridSpan w:val="2"/>
            <w:tcBorders>
              <w:tl2br w:val="nil"/>
              <w:tr2bl w:val="nil"/>
            </w:tcBorders>
          </w:tcPr>
          <w:p w14:paraId="20D22B9F">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皮肤接触：用肥皂水及清水彻底冲洗。就医。眼睛接触：拉开眼睑，用流动清水冲洗15分钟。就医。吸入：脱离现场至空气新鲜处。呼吸困难时给输氧。呼吸停止时，立即进行人工呼吸。就医。食入：误服者，饮适量温水，催吐。就医。</w:t>
            </w:r>
          </w:p>
        </w:tc>
      </w:tr>
      <w:tr w14:paraId="038200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160220C6">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消防措施</w:t>
            </w:r>
          </w:p>
        </w:tc>
        <w:tc>
          <w:tcPr>
            <w:tcW w:w="6196" w:type="dxa"/>
            <w:gridSpan w:val="2"/>
            <w:tcBorders>
              <w:tl2br w:val="nil"/>
              <w:tr2bl w:val="nil"/>
            </w:tcBorders>
            <w:vAlign w:val="center"/>
          </w:tcPr>
          <w:p w14:paraId="41AD829F">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危险特性：受热分解产生有毒的烟气。</w:t>
            </w:r>
          </w:p>
          <w:p w14:paraId="601DFB83">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有害燃烧产物：氮氧化物、硫化物。灭火方法：消防人员必须穿全身防火防毒服，在上风向灭火。灭火时尽可能将容器从火场移至空旷处。</w:t>
            </w:r>
          </w:p>
        </w:tc>
      </w:tr>
      <w:tr w14:paraId="0FC2D4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1CB2D52F">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接触控制/个体防护</w:t>
            </w:r>
          </w:p>
        </w:tc>
        <w:tc>
          <w:tcPr>
            <w:tcW w:w="6196" w:type="dxa"/>
            <w:gridSpan w:val="2"/>
            <w:tcBorders>
              <w:tl2br w:val="nil"/>
              <w:tr2bl w:val="nil"/>
            </w:tcBorders>
            <w:vAlign w:val="center"/>
          </w:tcPr>
          <w:p w14:paraId="745E71C2">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工程控制：密闭操作，局部排风。</w:t>
            </w:r>
          </w:p>
          <w:p w14:paraId="6369E042">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呼吸系统防护：空气中粉尘浓度超标时，必须佩戴自吸过滤式防尘口罩。紧急事态抢救或撤离时，应该佩戴空气呼吸器。</w:t>
            </w:r>
          </w:p>
          <w:p w14:paraId="2BCC2C38">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眼睛防护：戴化学安全防护眼镜。</w:t>
            </w:r>
          </w:p>
          <w:p w14:paraId="2AA2CAB9">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身体防护：穿防毒物渗透工作服。手防护：戴橡胶手套。</w:t>
            </w:r>
          </w:p>
          <w:p w14:paraId="3B661921">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其他防护：工作完毕，淋浴更衣。保持良好的卫生习惯。</w:t>
            </w:r>
          </w:p>
        </w:tc>
      </w:tr>
      <w:tr w14:paraId="3103DA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8" w:type="dxa"/>
            <w:tcBorders>
              <w:tl2br w:val="nil"/>
              <w:tr2bl w:val="nil"/>
            </w:tcBorders>
            <w:vAlign w:val="center"/>
          </w:tcPr>
          <w:p w14:paraId="44FCBE1F">
            <w:pPr>
              <w:kinsoku w:val="0"/>
              <w:autoSpaceDE w:val="0"/>
              <w:autoSpaceDN w:val="0"/>
              <w:adjustRightInd w:val="0"/>
              <w:snapToGrid w:val="0"/>
              <w:spacing w:before="25" w:line="227" w:lineRule="auto"/>
              <w:ind w:left="112"/>
              <w:jc w:val="center"/>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运输注意事项</w:t>
            </w:r>
          </w:p>
        </w:tc>
        <w:tc>
          <w:tcPr>
            <w:tcW w:w="6196" w:type="dxa"/>
            <w:gridSpan w:val="2"/>
            <w:tcBorders>
              <w:tl2br w:val="nil"/>
              <w:tr2bl w:val="nil"/>
            </w:tcBorders>
          </w:tcPr>
          <w:p w14:paraId="613A9379">
            <w:pPr>
              <w:kinsoku w:val="0"/>
              <w:autoSpaceDE w:val="0"/>
              <w:autoSpaceDN w:val="0"/>
              <w:adjustRightInd w:val="0"/>
              <w:snapToGrid w:val="0"/>
              <w:ind w:firstLine="444" w:firstLineChars="200"/>
              <w:textAlignment w:val="baseline"/>
              <w:rPr>
                <w:rFonts w:eastAsia="宋体"/>
                <w:snapToGrid w:val="0"/>
                <w:color w:val="000000" w:themeColor="text1"/>
                <w:spacing w:val="6"/>
                <w:kern w:val="0"/>
                <w:szCs w:val="20"/>
                <w:lang w:eastAsia="en-US"/>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起运时包装要完整，装载应稳妥。运输过程中要确保容器不泄漏、不倒塌、不坠落、不损坏。严禁与酸类、碱类、食用化学品等混装混运。运输途中应防暴晒、雨淋，防高温。</w:t>
            </w:r>
            <w:r>
              <w:rPr>
                <w:rFonts w:eastAsia="宋体"/>
                <w:snapToGrid w:val="0"/>
                <w:color w:val="000000" w:themeColor="text1"/>
                <w:spacing w:val="6"/>
                <w:kern w:val="0"/>
                <w:szCs w:val="20"/>
                <w:lang w:eastAsia="en-US"/>
                <w14:textFill>
                  <w14:solidFill>
                    <w14:schemeClr w14:val="tx1"/>
                  </w14:solidFill>
                </w14:textFill>
              </w:rPr>
              <w:t>车辆运输完毕应进行彻底清扫。</w:t>
            </w:r>
          </w:p>
        </w:tc>
      </w:tr>
    </w:tbl>
    <w:p w14:paraId="422701CF">
      <w:pPr>
        <w:pStyle w:val="147"/>
        <w:ind w:firstLine="474"/>
        <w:rPr>
          <w:color w:val="000000" w:themeColor="text1"/>
          <w:lang w:eastAsia="en-US"/>
          <w14:textFill>
            <w14:solidFill>
              <w14:schemeClr w14:val="tx1"/>
            </w14:solidFill>
          </w14:textFill>
        </w:rPr>
      </w:pPr>
      <w:r>
        <w:rPr>
          <w:b/>
          <w:bCs/>
          <w:color w:val="000000" w:themeColor="text1"/>
          <w:spacing w:val="-2"/>
          <w:lang w:eastAsia="en-US"/>
          <w14:textFill>
            <w14:solidFill>
              <w14:schemeClr w14:val="tx1"/>
            </w14:solidFill>
          </w14:textFill>
        </w:rPr>
        <w:t>5.2环境敏感目标调查</w:t>
      </w:r>
    </w:p>
    <w:p w14:paraId="36058C93">
      <w:pPr>
        <w:widowControl/>
        <w:kinsoku w:val="0"/>
        <w:autoSpaceDE w:val="0"/>
        <w:autoSpaceDN w:val="0"/>
        <w:adjustRightInd w:val="0"/>
        <w:snapToGrid w:val="0"/>
        <w:spacing w:line="360" w:lineRule="auto"/>
        <w:ind w:firstLine="464" w:firstLineChars="200"/>
        <w:textAlignment w:val="baseline"/>
        <w:rPr>
          <w:rFonts w:eastAsia="宋体"/>
          <w:b/>
          <w:bCs/>
          <w:snapToGrid w:val="0"/>
          <w:color w:val="000000" w:themeColor="text1"/>
          <w:spacing w:val="5"/>
          <w:kern w:val="0"/>
          <w:sz w:val="20"/>
          <w:szCs w:val="20"/>
          <w14:textFill>
            <w14:solidFill>
              <w14:schemeClr w14:val="tx1"/>
            </w14:solidFill>
          </w14:textFill>
        </w:rPr>
      </w:pPr>
      <w:r>
        <w:rPr>
          <w:rFonts w:eastAsia="宋体"/>
          <w:snapToGrid w:val="0"/>
          <w:color w:val="000000" w:themeColor="text1"/>
          <w:spacing w:val="-4"/>
          <w:kern w:val="0"/>
          <w:sz w:val="24"/>
          <w14:textFill>
            <w14:solidFill>
              <w14:schemeClr w14:val="tx1"/>
            </w14:solidFill>
          </w14:textFill>
        </w:rPr>
        <w:t>根据本项目危险物质可能的影响途径，其环境敏感目标情况见下表</w:t>
      </w:r>
      <w:r>
        <w:rPr>
          <w:rFonts w:eastAsia="宋体"/>
          <w:snapToGrid w:val="0"/>
          <w:color w:val="000000" w:themeColor="text1"/>
          <w:spacing w:val="-5"/>
          <w:kern w:val="0"/>
          <w:sz w:val="24"/>
          <w14:textFill>
            <w14:solidFill>
              <w14:schemeClr w14:val="tx1"/>
            </w14:solidFill>
          </w14:textFill>
        </w:rPr>
        <w:t>、见下图。</w:t>
      </w:r>
    </w:p>
    <w:p w14:paraId="31BDA563">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建设项目环境敏感特征表</w:t>
      </w:r>
    </w:p>
    <w:tbl>
      <w:tblPr>
        <w:tblStyle w:val="33"/>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323"/>
        <w:gridCol w:w="1324"/>
        <w:gridCol w:w="1324"/>
        <w:gridCol w:w="1326"/>
        <w:gridCol w:w="1328"/>
        <w:gridCol w:w="1328"/>
        <w:gridCol w:w="1329"/>
      </w:tblGrid>
      <w:tr w14:paraId="490974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13" w:type="pct"/>
            <w:tcBorders>
              <w:tl2br w:val="nil"/>
              <w:tr2bl w:val="nil"/>
            </w:tcBorders>
            <w:shd w:val="clear" w:color="auto" w:fill="auto"/>
            <w:vAlign w:val="center"/>
          </w:tcPr>
          <w:p w14:paraId="31FA687E">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类别</w:t>
            </w:r>
          </w:p>
        </w:tc>
        <w:tc>
          <w:tcPr>
            <w:tcW w:w="4286" w:type="pct"/>
            <w:gridSpan w:val="6"/>
            <w:tcBorders>
              <w:tl2br w:val="nil"/>
              <w:tr2bl w:val="nil"/>
            </w:tcBorders>
            <w:shd w:val="clear" w:color="auto" w:fill="auto"/>
            <w:vAlign w:val="center"/>
          </w:tcPr>
          <w:p w14:paraId="73C19809">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环境敏感特征</w:t>
            </w:r>
          </w:p>
        </w:tc>
      </w:tr>
      <w:tr w14:paraId="67D412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1" w:hRule="atLeast"/>
          <w:jc w:val="center"/>
        </w:trPr>
        <w:tc>
          <w:tcPr>
            <w:tcW w:w="713" w:type="pct"/>
            <w:vMerge w:val="restart"/>
            <w:tcBorders>
              <w:tl2br w:val="nil"/>
              <w:tr2bl w:val="nil"/>
            </w:tcBorders>
            <w:shd w:val="clear" w:color="auto" w:fill="auto"/>
            <w:vAlign w:val="center"/>
          </w:tcPr>
          <w:p w14:paraId="159798E5">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环境空气</w:t>
            </w:r>
          </w:p>
        </w:tc>
        <w:tc>
          <w:tcPr>
            <w:tcW w:w="4286" w:type="pct"/>
            <w:gridSpan w:val="6"/>
            <w:tcBorders>
              <w:tl2br w:val="nil"/>
              <w:tr2bl w:val="nil"/>
            </w:tcBorders>
            <w:shd w:val="clear" w:color="auto" w:fill="auto"/>
            <w:vAlign w:val="center"/>
          </w:tcPr>
          <w:p w14:paraId="09525282">
            <w:pPr>
              <w:jc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厂址周边5km范围内</w:t>
            </w:r>
          </w:p>
        </w:tc>
      </w:tr>
      <w:tr w14:paraId="434CBF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13" w:type="pct"/>
            <w:vMerge w:val="continue"/>
            <w:tcBorders>
              <w:tl2br w:val="nil"/>
              <w:tr2bl w:val="nil"/>
            </w:tcBorders>
            <w:shd w:val="clear" w:color="auto" w:fill="auto"/>
            <w:vAlign w:val="center"/>
          </w:tcPr>
          <w:p w14:paraId="2DCB910E">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212E6BE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序号</w:t>
            </w:r>
          </w:p>
        </w:tc>
        <w:tc>
          <w:tcPr>
            <w:tcW w:w="713" w:type="pct"/>
            <w:tcBorders>
              <w:tl2br w:val="nil"/>
              <w:tr2bl w:val="nil"/>
            </w:tcBorders>
            <w:shd w:val="clear" w:color="auto" w:fill="auto"/>
            <w:vAlign w:val="center"/>
          </w:tcPr>
          <w:p w14:paraId="1553495F">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敏感目标名称</w:t>
            </w:r>
          </w:p>
        </w:tc>
        <w:tc>
          <w:tcPr>
            <w:tcW w:w="714" w:type="pct"/>
            <w:tcBorders>
              <w:tl2br w:val="nil"/>
              <w:tr2bl w:val="nil"/>
            </w:tcBorders>
            <w:shd w:val="clear" w:color="auto" w:fill="auto"/>
            <w:vAlign w:val="center"/>
          </w:tcPr>
          <w:p w14:paraId="1E1B736B">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相对方位</w:t>
            </w:r>
          </w:p>
        </w:tc>
        <w:tc>
          <w:tcPr>
            <w:tcW w:w="715" w:type="pct"/>
            <w:tcBorders>
              <w:tl2br w:val="nil"/>
              <w:tr2bl w:val="nil"/>
            </w:tcBorders>
            <w:shd w:val="clear" w:color="auto" w:fill="auto"/>
            <w:vAlign w:val="center"/>
          </w:tcPr>
          <w:p w14:paraId="72DA697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距离（m）</w:t>
            </w:r>
          </w:p>
        </w:tc>
        <w:tc>
          <w:tcPr>
            <w:tcW w:w="714" w:type="pct"/>
            <w:tcBorders>
              <w:tl2br w:val="nil"/>
              <w:tr2bl w:val="nil"/>
            </w:tcBorders>
            <w:shd w:val="clear" w:color="auto" w:fill="auto"/>
            <w:vAlign w:val="center"/>
          </w:tcPr>
          <w:p w14:paraId="03877428">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属性</w:t>
            </w:r>
          </w:p>
        </w:tc>
        <w:tc>
          <w:tcPr>
            <w:tcW w:w="716" w:type="pct"/>
            <w:tcBorders>
              <w:tl2br w:val="nil"/>
              <w:tr2bl w:val="nil"/>
            </w:tcBorders>
            <w:shd w:val="clear" w:color="auto" w:fill="auto"/>
            <w:vAlign w:val="center"/>
          </w:tcPr>
          <w:p w14:paraId="6F1A8697">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人口数</w:t>
            </w:r>
          </w:p>
        </w:tc>
      </w:tr>
      <w:tr w14:paraId="38C355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25B28B04">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332B13A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1</w:t>
            </w:r>
          </w:p>
        </w:tc>
        <w:tc>
          <w:tcPr>
            <w:tcW w:w="713" w:type="pct"/>
            <w:tcBorders>
              <w:tl2br w:val="nil"/>
              <w:tr2bl w:val="nil"/>
            </w:tcBorders>
            <w:shd w:val="clear" w:color="auto" w:fill="auto"/>
            <w:vAlign w:val="center"/>
          </w:tcPr>
          <w:p w14:paraId="6F281418">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集贤县</w:t>
            </w:r>
          </w:p>
        </w:tc>
        <w:tc>
          <w:tcPr>
            <w:tcW w:w="714" w:type="pct"/>
            <w:tcBorders>
              <w:tl2br w:val="nil"/>
              <w:tr2bl w:val="nil"/>
            </w:tcBorders>
            <w:shd w:val="clear" w:color="auto" w:fill="auto"/>
            <w:vAlign w:val="center"/>
          </w:tcPr>
          <w:p w14:paraId="18809FB6">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W</w:t>
            </w:r>
          </w:p>
        </w:tc>
        <w:tc>
          <w:tcPr>
            <w:tcW w:w="715" w:type="pct"/>
            <w:tcBorders>
              <w:tl2br w:val="nil"/>
              <w:tr2bl w:val="nil"/>
            </w:tcBorders>
            <w:shd w:val="clear" w:color="auto" w:fill="auto"/>
            <w:vAlign w:val="center"/>
          </w:tcPr>
          <w:p w14:paraId="71CC4A2D">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1400</w:t>
            </w:r>
          </w:p>
        </w:tc>
        <w:tc>
          <w:tcPr>
            <w:tcW w:w="714" w:type="pct"/>
            <w:tcBorders>
              <w:tl2br w:val="nil"/>
              <w:tr2bl w:val="nil"/>
            </w:tcBorders>
            <w:shd w:val="clear" w:color="auto" w:fill="auto"/>
            <w:vAlign w:val="center"/>
          </w:tcPr>
          <w:p w14:paraId="47BEE6C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75EEEDAB">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230000</w:t>
            </w:r>
          </w:p>
        </w:tc>
      </w:tr>
      <w:tr w14:paraId="2B195A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6860AE64">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54FD5F1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2</w:t>
            </w:r>
          </w:p>
        </w:tc>
        <w:tc>
          <w:tcPr>
            <w:tcW w:w="713" w:type="pct"/>
            <w:tcBorders>
              <w:tl2br w:val="nil"/>
              <w:tr2bl w:val="nil"/>
            </w:tcBorders>
            <w:shd w:val="clear" w:color="auto" w:fill="auto"/>
            <w:vAlign w:val="center"/>
          </w:tcPr>
          <w:p w14:paraId="1397523A">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新发村</w:t>
            </w:r>
          </w:p>
        </w:tc>
        <w:tc>
          <w:tcPr>
            <w:tcW w:w="714" w:type="pct"/>
            <w:tcBorders>
              <w:tl2br w:val="nil"/>
              <w:tr2bl w:val="nil"/>
            </w:tcBorders>
            <w:shd w:val="clear" w:color="auto" w:fill="auto"/>
            <w:vAlign w:val="center"/>
          </w:tcPr>
          <w:p w14:paraId="2C7EE65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SW</w:t>
            </w:r>
          </w:p>
        </w:tc>
        <w:tc>
          <w:tcPr>
            <w:tcW w:w="715" w:type="pct"/>
            <w:tcBorders>
              <w:tl2br w:val="nil"/>
              <w:tr2bl w:val="nil"/>
            </w:tcBorders>
            <w:shd w:val="clear" w:color="auto" w:fill="auto"/>
            <w:vAlign w:val="center"/>
          </w:tcPr>
          <w:p w14:paraId="4C727F2B">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3700</w:t>
            </w:r>
          </w:p>
        </w:tc>
        <w:tc>
          <w:tcPr>
            <w:tcW w:w="714" w:type="pct"/>
            <w:tcBorders>
              <w:tl2br w:val="nil"/>
              <w:tr2bl w:val="nil"/>
            </w:tcBorders>
            <w:shd w:val="clear" w:color="auto" w:fill="auto"/>
            <w:vAlign w:val="center"/>
          </w:tcPr>
          <w:p w14:paraId="4D6BB84D">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10605CB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600</w:t>
            </w:r>
          </w:p>
        </w:tc>
      </w:tr>
      <w:tr w14:paraId="0A55FA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678E2F23">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6037019B">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3</w:t>
            </w:r>
          </w:p>
        </w:tc>
        <w:tc>
          <w:tcPr>
            <w:tcW w:w="713" w:type="pct"/>
            <w:tcBorders>
              <w:tl2br w:val="nil"/>
              <w:tr2bl w:val="nil"/>
            </w:tcBorders>
            <w:shd w:val="clear" w:color="auto" w:fill="auto"/>
            <w:vAlign w:val="center"/>
          </w:tcPr>
          <w:p w14:paraId="4BD7224F">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九三村</w:t>
            </w:r>
          </w:p>
        </w:tc>
        <w:tc>
          <w:tcPr>
            <w:tcW w:w="714" w:type="pct"/>
            <w:tcBorders>
              <w:tl2br w:val="nil"/>
              <w:tr2bl w:val="nil"/>
            </w:tcBorders>
            <w:shd w:val="clear" w:color="auto" w:fill="auto"/>
            <w:vAlign w:val="center"/>
          </w:tcPr>
          <w:p w14:paraId="3D6F396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EW</w:t>
            </w:r>
          </w:p>
        </w:tc>
        <w:tc>
          <w:tcPr>
            <w:tcW w:w="715" w:type="pct"/>
            <w:tcBorders>
              <w:tl2br w:val="nil"/>
              <w:tr2bl w:val="nil"/>
            </w:tcBorders>
            <w:shd w:val="clear" w:color="auto" w:fill="auto"/>
            <w:vAlign w:val="center"/>
          </w:tcPr>
          <w:p w14:paraId="49AA1333">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1800</w:t>
            </w:r>
          </w:p>
        </w:tc>
        <w:tc>
          <w:tcPr>
            <w:tcW w:w="714" w:type="pct"/>
            <w:tcBorders>
              <w:tl2br w:val="nil"/>
              <w:tr2bl w:val="nil"/>
            </w:tcBorders>
            <w:shd w:val="clear" w:color="auto" w:fill="auto"/>
            <w:vAlign w:val="center"/>
          </w:tcPr>
          <w:p w14:paraId="67B4617F">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76E4BA3F">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1400</w:t>
            </w:r>
          </w:p>
        </w:tc>
      </w:tr>
      <w:tr w14:paraId="4B19F1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7935AB06">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07345F56">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4</w:t>
            </w:r>
          </w:p>
        </w:tc>
        <w:tc>
          <w:tcPr>
            <w:tcW w:w="713" w:type="pct"/>
            <w:tcBorders>
              <w:tl2br w:val="nil"/>
              <w:tr2bl w:val="nil"/>
            </w:tcBorders>
            <w:shd w:val="clear" w:color="auto" w:fill="auto"/>
            <w:vAlign w:val="center"/>
          </w:tcPr>
          <w:p w14:paraId="3B4C8B58">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双鸭山市</w:t>
            </w:r>
          </w:p>
        </w:tc>
        <w:tc>
          <w:tcPr>
            <w:tcW w:w="714" w:type="pct"/>
            <w:tcBorders>
              <w:tl2br w:val="nil"/>
              <w:tr2bl w:val="nil"/>
            </w:tcBorders>
            <w:shd w:val="clear" w:color="auto" w:fill="auto"/>
            <w:vAlign w:val="center"/>
          </w:tcPr>
          <w:p w14:paraId="66EAF354">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SW</w:t>
            </w:r>
          </w:p>
        </w:tc>
        <w:tc>
          <w:tcPr>
            <w:tcW w:w="715" w:type="pct"/>
            <w:tcBorders>
              <w:tl2br w:val="nil"/>
              <w:tr2bl w:val="nil"/>
            </w:tcBorders>
            <w:shd w:val="clear" w:color="auto" w:fill="auto"/>
            <w:vAlign w:val="center"/>
          </w:tcPr>
          <w:p w14:paraId="753B42D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4210</w:t>
            </w:r>
          </w:p>
        </w:tc>
        <w:tc>
          <w:tcPr>
            <w:tcW w:w="714" w:type="pct"/>
            <w:tcBorders>
              <w:tl2br w:val="nil"/>
              <w:tr2bl w:val="nil"/>
            </w:tcBorders>
            <w:shd w:val="clear" w:color="auto" w:fill="auto"/>
            <w:vAlign w:val="center"/>
          </w:tcPr>
          <w:p w14:paraId="0C067CB8">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212F1F7C">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4000</w:t>
            </w:r>
          </w:p>
        </w:tc>
      </w:tr>
      <w:tr w14:paraId="23A645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3235BB42">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3152D5F8">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5</w:t>
            </w:r>
          </w:p>
        </w:tc>
        <w:tc>
          <w:tcPr>
            <w:tcW w:w="713" w:type="pct"/>
            <w:tcBorders>
              <w:tl2br w:val="nil"/>
              <w:tr2bl w:val="nil"/>
            </w:tcBorders>
            <w:shd w:val="clear" w:color="auto" w:fill="auto"/>
            <w:vAlign w:val="center"/>
          </w:tcPr>
          <w:p w14:paraId="4115606C">
            <w:pPr>
              <w:widowControl/>
              <w:jc w:val="left"/>
              <w:textAlignment w:val="center"/>
              <w:rPr>
                <w:rFonts w:hint="eastAsia" w:eastAsia="宋体"/>
                <w:color w:val="000000" w:themeColor="text1"/>
                <w:sz w:val="20"/>
                <w:szCs w:val="20"/>
                <w:lang w:eastAsia="zh-CN"/>
                <w14:textFill>
                  <w14:solidFill>
                    <w14:schemeClr w14:val="tx1"/>
                  </w14:solidFill>
                </w14:textFill>
              </w:rPr>
            </w:pPr>
            <w:r>
              <w:rPr>
                <w:rFonts w:hint="eastAsia" w:eastAsia="宋体"/>
                <w:color w:val="000000" w:themeColor="text1"/>
                <w:sz w:val="20"/>
                <w:szCs w:val="20"/>
                <w:lang w:val="en-US" w:eastAsia="zh-CN"/>
                <w14:textFill>
                  <w14:solidFill>
                    <w14:schemeClr w14:val="tx1"/>
                  </w14:solidFill>
                </w14:textFill>
              </w:rPr>
              <w:t>沙岗镇</w:t>
            </w:r>
          </w:p>
        </w:tc>
        <w:tc>
          <w:tcPr>
            <w:tcW w:w="714" w:type="pct"/>
            <w:tcBorders>
              <w:tl2br w:val="nil"/>
              <w:tr2bl w:val="nil"/>
            </w:tcBorders>
            <w:shd w:val="clear" w:color="auto" w:fill="auto"/>
            <w:vAlign w:val="center"/>
          </w:tcPr>
          <w:p w14:paraId="15FC3B2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N</w:t>
            </w:r>
          </w:p>
        </w:tc>
        <w:tc>
          <w:tcPr>
            <w:tcW w:w="715" w:type="pct"/>
            <w:tcBorders>
              <w:tl2br w:val="nil"/>
              <w:tr2bl w:val="nil"/>
            </w:tcBorders>
            <w:shd w:val="clear" w:color="auto" w:fill="auto"/>
            <w:vAlign w:val="center"/>
          </w:tcPr>
          <w:p w14:paraId="37EBFFDB">
            <w:pPr>
              <w:widowControl/>
              <w:jc w:val="left"/>
              <w:textAlignment w:val="center"/>
              <w:rPr>
                <w:rFonts w:hint="default" w:eastAsia="宋体"/>
                <w:color w:val="000000" w:themeColor="text1"/>
                <w:sz w:val="20"/>
                <w:szCs w:val="20"/>
                <w:lang w:val="en-US" w:eastAsia="zh-CN"/>
                <w14:textFill>
                  <w14:solidFill>
                    <w14:schemeClr w14:val="tx1"/>
                  </w14:solidFill>
                </w14:textFill>
              </w:rPr>
            </w:pPr>
            <w:r>
              <w:rPr>
                <w:rFonts w:hint="eastAsia" w:eastAsia="宋体"/>
                <w:color w:val="000000" w:themeColor="text1"/>
                <w:sz w:val="20"/>
                <w:szCs w:val="20"/>
                <w:lang w:val="en-US" w:eastAsia="zh-CN"/>
                <w14:textFill>
                  <w14:solidFill>
                    <w14:schemeClr w14:val="tx1"/>
                  </w14:solidFill>
                </w14:textFill>
              </w:rPr>
              <w:t>510</w:t>
            </w:r>
          </w:p>
        </w:tc>
        <w:tc>
          <w:tcPr>
            <w:tcW w:w="714" w:type="pct"/>
            <w:tcBorders>
              <w:tl2br w:val="nil"/>
              <w:tr2bl w:val="nil"/>
            </w:tcBorders>
            <w:shd w:val="clear" w:color="auto" w:fill="auto"/>
            <w:vAlign w:val="center"/>
          </w:tcPr>
          <w:p w14:paraId="572A4D10">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1CEDF83F">
            <w:pPr>
              <w:widowControl/>
              <w:jc w:val="left"/>
              <w:textAlignment w:val="center"/>
              <w:rPr>
                <w:rFonts w:hint="default" w:eastAsia="宋体"/>
                <w:color w:val="000000" w:themeColor="text1"/>
                <w:sz w:val="20"/>
                <w:szCs w:val="20"/>
                <w:lang w:val="en-US" w:eastAsia="zh-CN"/>
                <w14:textFill>
                  <w14:solidFill>
                    <w14:schemeClr w14:val="tx1"/>
                  </w14:solidFill>
                </w14:textFill>
              </w:rPr>
            </w:pPr>
            <w:r>
              <w:rPr>
                <w:rFonts w:hint="eastAsia" w:eastAsia="宋体"/>
                <w:color w:val="000000" w:themeColor="text1"/>
                <w:sz w:val="20"/>
                <w:szCs w:val="20"/>
                <w:lang w:val="en-US" w:eastAsia="zh-CN"/>
                <w14:textFill>
                  <w14:solidFill>
                    <w14:schemeClr w14:val="tx1"/>
                  </w14:solidFill>
                </w14:textFill>
              </w:rPr>
              <w:t>4000</w:t>
            </w:r>
          </w:p>
        </w:tc>
      </w:tr>
      <w:tr w14:paraId="4572B6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13" w:type="pct"/>
            <w:vMerge w:val="continue"/>
            <w:tcBorders>
              <w:tl2br w:val="nil"/>
              <w:tr2bl w:val="nil"/>
            </w:tcBorders>
            <w:shd w:val="clear" w:color="auto" w:fill="auto"/>
            <w:vAlign w:val="center"/>
          </w:tcPr>
          <w:p w14:paraId="2CD513C3">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1DCB41BA">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6</w:t>
            </w:r>
          </w:p>
        </w:tc>
        <w:tc>
          <w:tcPr>
            <w:tcW w:w="713" w:type="pct"/>
            <w:tcBorders>
              <w:tl2br w:val="nil"/>
              <w:tr2bl w:val="nil"/>
            </w:tcBorders>
            <w:shd w:val="clear" w:color="auto" w:fill="auto"/>
            <w:vAlign w:val="center"/>
          </w:tcPr>
          <w:p w14:paraId="693DEFFB">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公立村</w:t>
            </w:r>
          </w:p>
        </w:tc>
        <w:tc>
          <w:tcPr>
            <w:tcW w:w="714" w:type="pct"/>
            <w:tcBorders>
              <w:tl2br w:val="nil"/>
              <w:tr2bl w:val="nil"/>
            </w:tcBorders>
            <w:shd w:val="clear" w:color="auto" w:fill="auto"/>
            <w:vAlign w:val="center"/>
          </w:tcPr>
          <w:p w14:paraId="3431DA8A">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S</w:t>
            </w:r>
          </w:p>
        </w:tc>
        <w:tc>
          <w:tcPr>
            <w:tcW w:w="715" w:type="pct"/>
            <w:tcBorders>
              <w:tl2br w:val="nil"/>
              <w:tr2bl w:val="nil"/>
            </w:tcBorders>
            <w:shd w:val="clear" w:color="auto" w:fill="auto"/>
            <w:vAlign w:val="center"/>
          </w:tcPr>
          <w:p w14:paraId="1B3542D6">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2000</w:t>
            </w:r>
          </w:p>
        </w:tc>
        <w:tc>
          <w:tcPr>
            <w:tcW w:w="714" w:type="pct"/>
            <w:tcBorders>
              <w:tl2br w:val="nil"/>
              <w:tr2bl w:val="nil"/>
            </w:tcBorders>
            <w:shd w:val="clear" w:color="auto" w:fill="auto"/>
            <w:vAlign w:val="center"/>
          </w:tcPr>
          <w:p w14:paraId="4D457478">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24D219A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1100</w:t>
            </w:r>
          </w:p>
        </w:tc>
      </w:tr>
      <w:tr w14:paraId="0C5835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1789E918">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626EE642">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7</w:t>
            </w:r>
          </w:p>
        </w:tc>
        <w:tc>
          <w:tcPr>
            <w:tcW w:w="713" w:type="pct"/>
            <w:tcBorders>
              <w:tl2br w:val="nil"/>
              <w:tr2bl w:val="nil"/>
            </w:tcBorders>
            <w:shd w:val="clear" w:color="auto" w:fill="auto"/>
            <w:vAlign w:val="center"/>
          </w:tcPr>
          <w:p w14:paraId="6DEF29D4">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开源村</w:t>
            </w:r>
          </w:p>
        </w:tc>
        <w:tc>
          <w:tcPr>
            <w:tcW w:w="714" w:type="pct"/>
            <w:tcBorders>
              <w:tl2br w:val="nil"/>
              <w:tr2bl w:val="nil"/>
            </w:tcBorders>
            <w:shd w:val="clear" w:color="auto" w:fill="auto"/>
            <w:vAlign w:val="center"/>
          </w:tcPr>
          <w:p w14:paraId="18F9A233">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EW</w:t>
            </w:r>
          </w:p>
        </w:tc>
        <w:tc>
          <w:tcPr>
            <w:tcW w:w="715" w:type="pct"/>
            <w:tcBorders>
              <w:tl2br w:val="nil"/>
              <w:tr2bl w:val="nil"/>
            </w:tcBorders>
            <w:shd w:val="clear" w:color="auto" w:fill="auto"/>
            <w:vAlign w:val="center"/>
          </w:tcPr>
          <w:p w14:paraId="094FF13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3870</w:t>
            </w:r>
          </w:p>
        </w:tc>
        <w:tc>
          <w:tcPr>
            <w:tcW w:w="714" w:type="pct"/>
            <w:tcBorders>
              <w:tl2br w:val="nil"/>
              <w:tr2bl w:val="nil"/>
            </w:tcBorders>
            <w:shd w:val="clear" w:color="auto" w:fill="auto"/>
            <w:vAlign w:val="center"/>
          </w:tcPr>
          <w:p w14:paraId="6F423E74">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2246E79F">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800</w:t>
            </w:r>
          </w:p>
        </w:tc>
      </w:tr>
      <w:tr w14:paraId="6669CD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713" w:type="pct"/>
            <w:vMerge w:val="continue"/>
            <w:tcBorders>
              <w:tl2br w:val="nil"/>
              <w:tr2bl w:val="nil"/>
            </w:tcBorders>
            <w:shd w:val="clear" w:color="auto" w:fill="auto"/>
            <w:vAlign w:val="center"/>
          </w:tcPr>
          <w:p w14:paraId="5707801D">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5205B1E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8</w:t>
            </w:r>
          </w:p>
        </w:tc>
        <w:tc>
          <w:tcPr>
            <w:tcW w:w="713" w:type="pct"/>
            <w:tcBorders>
              <w:tl2br w:val="nil"/>
              <w:tr2bl w:val="nil"/>
            </w:tcBorders>
            <w:shd w:val="clear" w:color="auto" w:fill="auto"/>
            <w:vAlign w:val="center"/>
          </w:tcPr>
          <w:p w14:paraId="53D3230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中华村</w:t>
            </w:r>
          </w:p>
        </w:tc>
        <w:tc>
          <w:tcPr>
            <w:tcW w:w="714" w:type="pct"/>
            <w:tcBorders>
              <w:tl2br w:val="nil"/>
              <w:tr2bl w:val="nil"/>
            </w:tcBorders>
            <w:shd w:val="clear" w:color="auto" w:fill="auto"/>
            <w:vAlign w:val="center"/>
          </w:tcPr>
          <w:p w14:paraId="3D1C8EE3">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EW</w:t>
            </w:r>
          </w:p>
        </w:tc>
        <w:tc>
          <w:tcPr>
            <w:tcW w:w="715" w:type="pct"/>
            <w:tcBorders>
              <w:tl2br w:val="nil"/>
              <w:tr2bl w:val="nil"/>
            </w:tcBorders>
            <w:shd w:val="clear" w:color="auto" w:fill="auto"/>
            <w:vAlign w:val="center"/>
          </w:tcPr>
          <w:p w14:paraId="0904752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4500</w:t>
            </w:r>
          </w:p>
        </w:tc>
        <w:tc>
          <w:tcPr>
            <w:tcW w:w="714" w:type="pct"/>
            <w:tcBorders>
              <w:tl2br w:val="nil"/>
              <w:tr2bl w:val="nil"/>
            </w:tcBorders>
            <w:shd w:val="clear" w:color="auto" w:fill="auto"/>
            <w:vAlign w:val="center"/>
          </w:tcPr>
          <w:p w14:paraId="69B4DCAC">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2DA7B13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1000</w:t>
            </w:r>
          </w:p>
        </w:tc>
      </w:tr>
      <w:tr w14:paraId="236B61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62EBBC20">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0CB2659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9</w:t>
            </w:r>
          </w:p>
        </w:tc>
        <w:tc>
          <w:tcPr>
            <w:tcW w:w="713" w:type="pct"/>
            <w:tcBorders>
              <w:tl2br w:val="nil"/>
              <w:tr2bl w:val="nil"/>
            </w:tcBorders>
            <w:shd w:val="clear" w:color="auto" w:fill="auto"/>
            <w:vAlign w:val="center"/>
          </w:tcPr>
          <w:p w14:paraId="3C3A93C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七一村</w:t>
            </w:r>
          </w:p>
        </w:tc>
        <w:tc>
          <w:tcPr>
            <w:tcW w:w="714" w:type="pct"/>
            <w:tcBorders>
              <w:tl2br w:val="nil"/>
              <w:tr2bl w:val="nil"/>
            </w:tcBorders>
            <w:shd w:val="clear" w:color="auto" w:fill="auto"/>
            <w:vAlign w:val="center"/>
          </w:tcPr>
          <w:p w14:paraId="06EB7B73">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EN</w:t>
            </w:r>
          </w:p>
        </w:tc>
        <w:tc>
          <w:tcPr>
            <w:tcW w:w="715" w:type="pct"/>
            <w:tcBorders>
              <w:tl2br w:val="nil"/>
              <w:tr2bl w:val="nil"/>
            </w:tcBorders>
            <w:shd w:val="clear" w:color="auto" w:fill="auto"/>
            <w:vAlign w:val="center"/>
          </w:tcPr>
          <w:p w14:paraId="68ABDB37">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4500</w:t>
            </w:r>
          </w:p>
        </w:tc>
        <w:tc>
          <w:tcPr>
            <w:tcW w:w="714" w:type="pct"/>
            <w:tcBorders>
              <w:tl2br w:val="nil"/>
              <w:tr2bl w:val="nil"/>
            </w:tcBorders>
            <w:shd w:val="clear" w:color="auto" w:fill="auto"/>
            <w:vAlign w:val="center"/>
          </w:tcPr>
          <w:p w14:paraId="00ED2A3F">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4CEC427C">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1800</w:t>
            </w:r>
          </w:p>
        </w:tc>
      </w:tr>
      <w:tr w14:paraId="4668BF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665843BC">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398C0A3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10</w:t>
            </w:r>
          </w:p>
        </w:tc>
        <w:tc>
          <w:tcPr>
            <w:tcW w:w="713" w:type="pct"/>
            <w:tcBorders>
              <w:tl2br w:val="nil"/>
              <w:tr2bl w:val="nil"/>
            </w:tcBorders>
            <w:shd w:val="clear" w:color="auto" w:fill="auto"/>
            <w:vAlign w:val="center"/>
          </w:tcPr>
          <w:p w14:paraId="218E90AF">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东岗村</w:t>
            </w:r>
          </w:p>
        </w:tc>
        <w:tc>
          <w:tcPr>
            <w:tcW w:w="714" w:type="pct"/>
            <w:tcBorders>
              <w:tl2br w:val="nil"/>
              <w:tr2bl w:val="nil"/>
            </w:tcBorders>
            <w:shd w:val="clear" w:color="auto" w:fill="auto"/>
            <w:vAlign w:val="center"/>
          </w:tcPr>
          <w:p w14:paraId="607841C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EN</w:t>
            </w:r>
          </w:p>
        </w:tc>
        <w:tc>
          <w:tcPr>
            <w:tcW w:w="715" w:type="pct"/>
            <w:tcBorders>
              <w:tl2br w:val="nil"/>
              <w:tr2bl w:val="nil"/>
            </w:tcBorders>
            <w:shd w:val="clear" w:color="auto" w:fill="auto"/>
            <w:vAlign w:val="center"/>
          </w:tcPr>
          <w:p w14:paraId="7D8A81D3">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4000</w:t>
            </w:r>
          </w:p>
        </w:tc>
        <w:tc>
          <w:tcPr>
            <w:tcW w:w="714" w:type="pct"/>
            <w:tcBorders>
              <w:tl2br w:val="nil"/>
              <w:tr2bl w:val="nil"/>
            </w:tcBorders>
            <w:shd w:val="clear" w:color="auto" w:fill="auto"/>
            <w:vAlign w:val="center"/>
          </w:tcPr>
          <w:p w14:paraId="6AAA71C4">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23CFF87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600</w:t>
            </w:r>
          </w:p>
        </w:tc>
      </w:tr>
      <w:tr w14:paraId="6AE606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1BB7E2E5">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3EAFED8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11</w:t>
            </w:r>
          </w:p>
        </w:tc>
        <w:tc>
          <w:tcPr>
            <w:tcW w:w="713" w:type="pct"/>
            <w:tcBorders>
              <w:tl2br w:val="nil"/>
              <w:tr2bl w:val="nil"/>
            </w:tcBorders>
            <w:shd w:val="clear" w:color="auto" w:fill="auto"/>
            <w:vAlign w:val="center"/>
          </w:tcPr>
          <w:p w14:paraId="30C1FDD7">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永久村</w:t>
            </w:r>
          </w:p>
        </w:tc>
        <w:tc>
          <w:tcPr>
            <w:tcW w:w="714" w:type="pct"/>
            <w:tcBorders>
              <w:tl2br w:val="nil"/>
              <w:tr2bl w:val="nil"/>
            </w:tcBorders>
            <w:shd w:val="clear" w:color="auto" w:fill="auto"/>
            <w:vAlign w:val="center"/>
          </w:tcPr>
          <w:p w14:paraId="748A0D4B">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EN</w:t>
            </w:r>
          </w:p>
        </w:tc>
        <w:tc>
          <w:tcPr>
            <w:tcW w:w="715" w:type="pct"/>
            <w:tcBorders>
              <w:tl2br w:val="nil"/>
              <w:tr2bl w:val="nil"/>
            </w:tcBorders>
            <w:shd w:val="clear" w:color="auto" w:fill="auto"/>
            <w:vAlign w:val="center"/>
          </w:tcPr>
          <w:p w14:paraId="39F3265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3900</w:t>
            </w:r>
          </w:p>
        </w:tc>
        <w:tc>
          <w:tcPr>
            <w:tcW w:w="714" w:type="pct"/>
            <w:tcBorders>
              <w:tl2br w:val="nil"/>
              <w:tr2bl w:val="nil"/>
            </w:tcBorders>
            <w:shd w:val="clear" w:color="auto" w:fill="auto"/>
            <w:vAlign w:val="center"/>
          </w:tcPr>
          <w:p w14:paraId="6F73CDCB">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2D00F463">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1200</w:t>
            </w:r>
          </w:p>
        </w:tc>
      </w:tr>
      <w:tr w14:paraId="7F0C95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52728218">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2A1B0A8F">
            <w:pPr>
              <w:widowControl/>
              <w:jc w:val="left"/>
              <w:textAlignment w:val="center"/>
              <w:rPr>
                <w:rFonts w:hint="default" w:eastAsia="宋体"/>
                <w:color w:val="000000" w:themeColor="text1"/>
                <w:kern w:val="0"/>
                <w:sz w:val="20"/>
                <w:szCs w:val="20"/>
                <w:lang w:val="en-US" w:eastAsia="zh-CN" w:bidi="ar"/>
                <w14:textFill>
                  <w14:solidFill>
                    <w14:schemeClr w14:val="tx1"/>
                  </w14:solidFill>
                </w14:textFill>
              </w:rPr>
            </w:pPr>
            <w:r>
              <w:rPr>
                <w:rFonts w:hint="eastAsia" w:eastAsia="宋体"/>
                <w:color w:val="000000" w:themeColor="text1"/>
                <w:kern w:val="0"/>
                <w:sz w:val="20"/>
                <w:szCs w:val="20"/>
                <w:lang w:val="en-US" w:eastAsia="zh-CN" w:bidi="ar"/>
                <w14:textFill>
                  <w14:solidFill>
                    <w14:schemeClr w14:val="tx1"/>
                  </w14:solidFill>
                </w14:textFill>
              </w:rPr>
              <w:t>12</w:t>
            </w:r>
          </w:p>
        </w:tc>
        <w:tc>
          <w:tcPr>
            <w:tcW w:w="713" w:type="pct"/>
            <w:tcBorders>
              <w:tl2br w:val="nil"/>
              <w:tr2bl w:val="nil"/>
            </w:tcBorders>
            <w:shd w:val="clear" w:color="auto" w:fill="auto"/>
            <w:vAlign w:val="center"/>
          </w:tcPr>
          <w:p w14:paraId="2CF16266">
            <w:pPr>
              <w:widowControl/>
              <w:jc w:val="left"/>
              <w:textAlignment w:val="center"/>
              <w:rPr>
                <w:rFonts w:eastAsia="宋体"/>
                <w:color w:val="000000" w:themeColor="text1"/>
                <w:sz w:val="20"/>
                <w:szCs w:val="20"/>
                <w14:textFill>
                  <w14:solidFill>
                    <w14:schemeClr w14:val="tx1"/>
                  </w14:solidFill>
                </w14:textFill>
              </w:rPr>
            </w:pPr>
            <w:r>
              <w:rPr>
                <w:rFonts w:hint="eastAsia" w:eastAsia="宋体"/>
                <w:color w:val="000000" w:themeColor="text1"/>
                <w:kern w:val="0"/>
                <w:sz w:val="20"/>
                <w:szCs w:val="20"/>
                <w:lang w:val="en-US" w:eastAsia="zh-CN" w:bidi="ar"/>
                <w14:textFill>
                  <w14:solidFill>
                    <w14:schemeClr w14:val="tx1"/>
                  </w14:solidFill>
                </w14:textFill>
              </w:rPr>
              <w:t>五四村</w:t>
            </w:r>
          </w:p>
        </w:tc>
        <w:tc>
          <w:tcPr>
            <w:tcW w:w="714" w:type="pct"/>
            <w:tcBorders>
              <w:tl2br w:val="nil"/>
              <w:tr2bl w:val="nil"/>
            </w:tcBorders>
            <w:shd w:val="clear" w:color="auto" w:fill="auto"/>
            <w:vAlign w:val="center"/>
          </w:tcPr>
          <w:p w14:paraId="5032BD82">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N</w:t>
            </w:r>
          </w:p>
        </w:tc>
        <w:tc>
          <w:tcPr>
            <w:tcW w:w="715" w:type="pct"/>
            <w:tcBorders>
              <w:tl2br w:val="nil"/>
              <w:tr2bl w:val="nil"/>
            </w:tcBorders>
            <w:shd w:val="clear" w:color="auto" w:fill="auto"/>
            <w:vAlign w:val="center"/>
          </w:tcPr>
          <w:p w14:paraId="4522322D">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sz w:val="20"/>
                <w:szCs w:val="20"/>
                <w14:textFill>
                  <w14:solidFill>
                    <w14:schemeClr w14:val="tx1"/>
                  </w14:solidFill>
                </w14:textFill>
              </w:rPr>
              <w:t>280</w:t>
            </w:r>
          </w:p>
        </w:tc>
        <w:tc>
          <w:tcPr>
            <w:tcW w:w="714" w:type="pct"/>
            <w:tcBorders>
              <w:tl2br w:val="nil"/>
              <w:tr2bl w:val="nil"/>
            </w:tcBorders>
            <w:shd w:val="clear" w:color="auto" w:fill="auto"/>
            <w:vAlign w:val="center"/>
          </w:tcPr>
          <w:p w14:paraId="46AD5224">
            <w:pPr>
              <w:widowControl/>
              <w:jc w:val="left"/>
              <w:textAlignment w:val="center"/>
              <w:rPr>
                <w:rFonts w:eastAsia="宋体"/>
                <w:color w:val="000000" w:themeColor="text1"/>
                <w:kern w:val="0"/>
                <w:sz w:val="20"/>
                <w:szCs w:val="20"/>
                <w:lang w:bidi="ar"/>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居民区</w:t>
            </w:r>
          </w:p>
        </w:tc>
        <w:tc>
          <w:tcPr>
            <w:tcW w:w="716" w:type="pct"/>
            <w:tcBorders>
              <w:tl2br w:val="nil"/>
              <w:tr2bl w:val="nil"/>
            </w:tcBorders>
            <w:shd w:val="clear" w:color="auto" w:fill="auto"/>
            <w:vAlign w:val="center"/>
          </w:tcPr>
          <w:p w14:paraId="4181C6F2">
            <w:pPr>
              <w:widowControl/>
              <w:jc w:val="left"/>
              <w:textAlignment w:val="center"/>
              <w:rPr>
                <w:rFonts w:hint="default" w:eastAsia="宋体"/>
                <w:color w:val="000000" w:themeColor="text1"/>
                <w:sz w:val="20"/>
                <w:szCs w:val="20"/>
                <w:lang w:val="en-US" w:eastAsia="zh-CN"/>
                <w14:textFill>
                  <w14:solidFill>
                    <w14:schemeClr w14:val="tx1"/>
                  </w14:solidFill>
                </w14:textFill>
              </w:rPr>
            </w:pPr>
            <w:r>
              <w:rPr>
                <w:rFonts w:hint="eastAsia" w:eastAsia="宋体"/>
                <w:color w:val="000000" w:themeColor="text1"/>
                <w:sz w:val="20"/>
                <w:szCs w:val="20"/>
                <w:lang w:val="en-US" w:eastAsia="zh-CN"/>
                <w14:textFill>
                  <w14:solidFill>
                    <w14:schemeClr w14:val="tx1"/>
                  </w14:solidFill>
                </w14:textFill>
              </w:rPr>
              <w:t>350</w:t>
            </w:r>
          </w:p>
        </w:tc>
      </w:tr>
      <w:tr w14:paraId="5410F6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713" w:type="pct"/>
            <w:vMerge w:val="continue"/>
            <w:tcBorders>
              <w:tl2br w:val="nil"/>
              <w:tr2bl w:val="nil"/>
            </w:tcBorders>
            <w:shd w:val="clear" w:color="auto" w:fill="auto"/>
            <w:vAlign w:val="center"/>
          </w:tcPr>
          <w:p w14:paraId="44F2AD5B">
            <w:pPr>
              <w:jc w:val="center"/>
              <w:rPr>
                <w:rFonts w:eastAsia="宋体"/>
                <w:color w:val="000000" w:themeColor="text1"/>
                <w:sz w:val="20"/>
                <w:szCs w:val="20"/>
                <w14:textFill>
                  <w14:solidFill>
                    <w14:schemeClr w14:val="tx1"/>
                  </w14:solidFill>
                </w14:textFill>
              </w:rPr>
            </w:pPr>
          </w:p>
        </w:tc>
        <w:tc>
          <w:tcPr>
            <w:tcW w:w="3570" w:type="pct"/>
            <w:gridSpan w:val="5"/>
            <w:tcBorders>
              <w:tl2br w:val="nil"/>
              <w:tr2bl w:val="nil"/>
            </w:tcBorders>
            <w:shd w:val="clear" w:color="auto" w:fill="auto"/>
            <w:vAlign w:val="center"/>
          </w:tcPr>
          <w:p w14:paraId="1C09A4A9">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厂址周边500m范围内人数小计</w:t>
            </w:r>
          </w:p>
        </w:tc>
        <w:tc>
          <w:tcPr>
            <w:tcW w:w="716" w:type="pct"/>
            <w:tcBorders>
              <w:tl2br w:val="nil"/>
              <w:tr2bl w:val="nil"/>
            </w:tcBorders>
            <w:shd w:val="clear" w:color="auto" w:fill="auto"/>
            <w:vAlign w:val="center"/>
          </w:tcPr>
          <w:p w14:paraId="6DEE8A6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350</w:t>
            </w:r>
          </w:p>
        </w:tc>
      </w:tr>
      <w:tr w14:paraId="654300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713" w:type="pct"/>
            <w:vMerge w:val="continue"/>
            <w:tcBorders>
              <w:tl2br w:val="nil"/>
              <w:tr2bl w:val="nil"/>
            </w:tcBorders>
            <w:shd w:val="clear" w:color="auto" w:fill="auto"/>
            <w:vAlign w:val="center"/>
          </w:tcPr>
          <w:p w14:paraId="219EC1C4">
            <w:pPr>
              <w:jc w:val="center"/>
              <w:rPr>
                <w:rFonts w:eastAsia="宋体"/>
                <w:color w:val="000000" w:themeColor="text1"/>
                <w:sz w:val="20"/>
                <w:szCs w:val="20"/>
                <w14:textFill>
                  <w14:solidFill>
                    <w14:schemeClr w14:val="tx1"/>
                  </w14:solidFill>
                </w14:textFill>
              </w:rPr>
            </w:pPr>
          </w:p>
        </w:tc>
        <w:tc>
          <w:tcPr>
            <w:tcW w:w="3570" w:type="pct"/>
            <w:gridSpan w:val="5"/>
            <w:tcBorders>
              <w:tl2br w:val="nil"/>
              <w:tr2bl w:val="nil"/>
            </w:tcBorders>
            <w:shd w:val="clear" w:color="auto" w:fill="auto"/>
            <w:vAlign w:val="center"/>
          </w:tcPr>
          <w:p w14:paraId="5AD7D3CC">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厂址周边5km范围内人数小计</w:t>
            </w:r>
          </w:p>
        </w:tc>
        <w:tc>
          <w:tcPr>
            <w:tcW w:w="716" w:type="pct"/>
            <w:tcBorders>
              <w:tl2br w:val="nil"/>
              <w:tr2bl w:val="nil"/>
            </w:tcBorders>
            <w:shd w:val="clear" w:color="auto" w:fill="auto"/>
            <w:vAlign w:val="center"/>
          </w:tcPr>
          <w:p w14:paraId="6AD269BC">
            <w:pPr>
              <w:widowControl/>
              <w:jc w:val="left"/>
              <w:textAlignment w:val="center"/>
              <w:rPr>
                <w:rFonts w:hint="eastAsia" w:eastAsia="宋体"/>
                <w:color w:val="000000" w:themeColor="text1"/>
                <w:sz w:val="20"/>
                <w:szCs w:val="20"/>
                <w:lang w:eastAsia="zh-CN"/>
                <w14:textFill>
                  <w14:solidFill>
                    <w14:schemeClr w14:val="tx1"/>
                  </w14:solidFill>
                </w14:textFill>
              </w:rPr>
            </w:pPr>
            <w:r>
              <w:rPr>
                <w:rFonts w:hint="eastAsia" w:eastAsia="宋体"/>
                <w:color w:val="000000" w:themeColor="text1"/>
                <w:kern w:val="0"/>
                <w:sz w:val="20"/>
                <w:szCs w:val="20"/>
                <w:lang w:eastAsia="zh-CN" w:bidi="ar"/>
                <w14:textFill>
                  <w14:solidFill>
                    <w14:schemeClr w14:val="tx1"/>
                  </w14:solidFill>
                </w14:textFill>
              </w:rPr>
              <w:t>246850</w:t>
            </w:r>
          </w:p>
        </w:tc>
      </w:tr>
      <w:tr w14:paraId="41BCEA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713" w:type="pct"/>
            <w:vMerge w:val="continue"/>
            <w:tcBorders>
              <w:tl2br w:val="nil"/>
              <w:tr2bl w:val="nil"/>
            </w:tcBorders>
            <w:shd w:val="clear" w:color="auto" w:fill="auto"/>
            <w:vAlign w:val="center"/>
          </w:tcPr>
          <w:p w14:paraId="12284CFA">
            <w:pPr>
              <w:jc w:val="center"/>
              <w:rPr>
                <w:rFonts w:eastAsia="宋体"/>
                <w:color w:val="000000" w:themeColor="text1"/>
                <w:sz w:val="20"/>
                <w:szCs w:val="20"/>
                <w14:textFill>
                  <w14:solidFill>
                    <w14:schemeClr w14:val="tx1"/>
                  </w14:solidFill>
                </w14:textFill>
              </w:rPr>
            </w:pPr>
          </w:p>
        </w:tc>
        <w:tc>
          <w:tcPr>
            <w:tcW w:w="3570" w:type="pct"/>
            <w:gridSpan w:val="5"/>
            <w:tcBorders>
              <w:tl2br w:val="nil"/>
              <w:tr2bl w:val="nil"/>
            </w:tcBorders>
            <w:shd w:val="clear" w:color="auto" w:fill="auto"/>
            <w:vAlign w:val="center"/>
          </w:tcPr>
          <w:p w14:paraId="31D207CA">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大气环境敏感程度E值</w:t>
            </w:r>
          </w:p>
        </w:tc>
        <w:tc>
          <w:tcPr>
            <w:tcW w:w="716" w:type="pct"/>
            <w:tcBorders>
              <w:tl2br w:val="nil"/>
              <w:tr2bl w:val="nil"/>
            </w:tcBorders>
            <w:shd w:val="clear" w:color="auto" w:fill="auto"/>
            <w:vAlign w:val="center"/>
          </w:tcPr>
          <w:p w14:paraId="14305B4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E1</w:t>
            </w:r>
          </w:p>
        </w:tc>
      </w:tr>
      <w:tr w14:paraId="523A6D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restart"/>
            <w:tcBorders>
              <w:tl2br w:val="nil"/>
              <w:tr2bl w:val="nil"/>
            </w:tcBorders>
            <w:shd w:val="clear" w:color="auto" w:fill="auto"/>
            <w:vAlign w:val="center"/>
          </w:tcPr>
          <w:p w14:paraId="29CBA4BA">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地表水</w:t>
            </w:r>
          </w:p>
        </w:tc>
        <w:tc>
          <w:tcPr>
            <w:tcW w:w="4286" w:type="pct"/>
            <w:gridSpan w:val="6"/>
            <w:tcBorders>
              <w:tl2br w:val="nil"/>
              <w:tr2bl w:val="nil"/>
            </w:tcBorders>
            <w:shd w:val="clear" w:color="auto" w:fill="auto"/>
            <w:vAlign w:val="center"/>
          </w:tcPr>
          <w:p w14:paraId="79000A41">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受纳水体</w:t>
            </w:r>
          </w:p>
        </w:tc>
      </w:tr>
      <w:tr w14:paraId="234A54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713" w:type="pct"/>
            <w:vMerge w:val="continue"/>
            <w:tcBorders>
              <w:tl2br w:val="nil"/>
              <w:tr2bl w:val="nil"/>
            </w:tcBorders>
            <w:shd w:val="clear" w:color="auto" w:fill="auto"/>
            <w:vAlign w:val="center"/>
          </w:tcPr>
          <w:p w14:paraId="2BD415A3">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72D42E1D">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序号</w:t>
            </w:r>
          </w:p>
        </w:tc>
        <w:tc>
          <w:tcPr>
            <w:tcW w:w="1427" w:type="pct"/>
            <w:gridSpan w:val="2"/>
            <w:tcBorders>
              <w:tl2br w:val="nil"/>
              <w:tr2bl w:val="nil"/>
            </w:tcBorders>
            <w:shd w:val="clear" w:color="auto" w:fill="auto"/>
            <w:vAlign w:val="center"/>
          </w:tcPr>
          <w:p w14:paraId="72946395">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受纳水体名称</w:t>
            </w:r>
          </w:p>
        </w:tc>
        <w:tc>
          <w:tcPr>
            <w:tcW w:w="715" w:type="pct"/>
            <w:tcBorders>
              <w:tl2br w:val="nil"/>
              <w:tr2bl w:val="nil"/>
            </w:tcBorders>
            <w:shd w:val="clear" w:color="auto" w:fill="auto"/>
            <w:vAlign w:val="center"/>
          </w:tcPr>
          <w:p w14:paraId="7E8295D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排放点水域环境功能</w:t>
            </w:r>
          </w:p>
        </w:tc>
        <w:tc>
          <w:tcPr>
            <w:tcW w:w="1430" w:type="pct"/>
            <w:gridSpan w:val="2"/>
            <w:tcBorders>
              <w:tl2br w:val="nil"/>
              <w:tr2bl w:val="nil"/>
            </w:tcBorders>
            <w:shd w:val="clear" w:color="auto" w:fill="auto"/>
            <w:vAlign w:val="center"/>
          </w:tcPr>
          <w:p w14:paraId="616CB9E0">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24h内流经范围/km</w:t>
            </w:r>
          </w:p>
        </w:tc>
      </w:tr>
      <w:tr w14:paraId="0A3027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13" w:type="pct"/>
            <w:vMerge w:val="continue"/>
            <w:tcBorders>
              <w:tl2br w:val="nil"/>
              <w:tr2bl w:val="nil"/>
            </w:tcBorders>
            <w:shd w:val="clear" w:color="auto" w:fill="auto"/>
            <w:vAlign w:val="center"/>
          </w:tcPr>
          <w:p w14:paraId="5F141873">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18348C7A">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1</w:t>
            </w:r>
          </w:p>
        </w:tc>
        <w:tc>
          <w:tcPr>
            <w:tcW w:w="1427" w:type="pct"/>
            <w:gridSpan w:val="2"/>
            <w:tcBorders>
              <w:tl2br w:val="nil"/>
              <w:tr2bl w:val="nil"/>
            </w:tcBorders>
            <w:shd w:val="clear" w:color="auto" w:fill="auto"/>
            <w:vAlign w:val="center"/>
          </w:tcPr>
          <w:p w14:paraId="74B96A93">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w:t>
            </w:r>
          </w:p>
        </w:tc>
        <w:tc>
          <w:tcPr>
            <w:tcW w:w="715" w:type="pct"/>
            <w:tcBorders>
              <w:tl2br w:val="nil"/>
              <w:tr2bl w:val="nil"/>
            </w:tcBorders>
            <w:shd w:val="clear" w:color="auto" w:fill="auto"/>
            <w:vAlign w:val="center"/>
          </w:tcPr>
          <w:p w14:paraId="645394DB">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w:t>
            </w:r>
          </w:p>
        </w:tc>
        <w:tc>
          <w:tcPr>
            <w:tcW w:w="1430" w:type="pct"/>
            <w:gridSpan w:val="2"/>
            <w:tcBorders>
              <w:tl2br w:val="nil"/>
              <w:tr2bl w:val="nil"/>
            </w:tcBorders>
            <w:shd w:val="clear" w:color="auto" w:fill="auto"/>
            <w:vAlign w:val="center"/>
          </w:tcPr>
          <w:p w14:paraId="01E4E16D">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w:t>
            </w:r>
          </w:p>
        </w:tc>
      </w:tr>
      <w:tr w14:paraId="247B59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713" w:type="pct"/>
            <w:vMerge w:val="continue"/>
            <w:tcBorders>
              <w:tl2br w:val="nil"/>
              <w:tr2bl w:val="nil"/>
            </w:tcBorders>
            <w:shd w:val="clear" w:color="auto" w:fill="auto"/>
            <w:vAlign w:val="center"/>
          </w:tcPr>
          <w:p w14:paraId="57CFF86B">
            <w:pPr>
              <w:jc w:val="center"/>
              <w:rPr>
                <w:rFonts w:eastAsia="宋体"/>
                <w:color w:val="000000" w:themeColor="text1"/>
                <w:sz w:val="20"/>
                <w:szCs w:val="20"/>
                <w14:textFill>
                  <w14:solidFill>
                    <w14:schemeClr w14:val="tx1"/>
                  </w14:solidFill>
                </w14:textFill>
              </w:rPr>
            </w:pPr>
          </w:p>
        </w:tc>
        <w:tc>
          <w:tcPr>
            <w:tcW w:w="2855" w:type="pct"/>
            <w:gridSpan w:val="4"/>
            <w:tcBorders>
              <w:tl2br w:val="nil"/>
              <w:tr2bl w:val="nil"/>
            </w:tcBorders>
            <w:shd w:val="clear" w:color="auto" w:fill="auto"/>
            <w:vAlign w:val="center"/>
          </w:tcPr>
          <w:p w14:paraId="76C163A6">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地表水环境敏感程度E值</w:t>
            </w:r>
          </w:p>
        </w:tc>
        <w:tc>
          <w:tcPr>
            <w:tcW w:w="1430" w:type="pct"/>
            <w:gridSpan w:val="2"/>
            <w:tcBorders>
              <w:tl2br w:val="nil"/>
              <w:tr2bl w:val="nil"/>
            </w:tcBorders>
            <w:shd w:val="clear" w:color="auto" w:fill="auto"/>
            <w:vAlign w:val="center"/>
          </w:tcPr>
          <w:p w14:paraId="715E7A67">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w:t>
            </w:r>
          </w:p>
        </w:tc>
      </w:tr>
      <w:tr w14:paraId="516C51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713" w:type="pct"/>
            <w:vMerge w:val="restart"/>
            <w:tcBorders>
              <w:tl2br w:val="nil"/>
              <w:tr2bl w:val="nil"/>
            </w:tcBorders>
            <w:shd w:val="clear" w:color="auto" w:fill="auto"/>
            <w:vAlign w:val="center"/>
          </w:tcPr>
          <w:p w14:paraId="4FBAF535">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地下水</w:t>
            </w:r>
          </w:p>
        </w:tc>
        <w:tc>
          <w:tcPr>
            <w:tcW w:w="713" w:type="pct"/>
            <w:tcBorders>
              <w:tl2br w:val="nil"/>
              <w:tr2bl w:val="nil"/>
            </w:tcBorders>
            <w:shd w:val="clear" w:color="auto" w:fill="auto"/>
            <w:vAlign w:val="center"/>
          </w:tcPr>
          <w:p w14:paraId="161B5AA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序号</w:t>
            </w:r>
          </w:p>
        </w:tc>
        <w:tc>
          <w:tcPr>
            <w:tcW w:w="713" w:type="pct"/>
            <w:tcBorders>
              <w:tl2br w:val="nil"/>
              <w:tr2bl w:val="nil"/>
            </w:tcBorders>
            <w:shd w:val="clear" w:color="auto" w:fill="auto"/>
            <w:vAlign w:val="center"/>
          </w:tcPr>
          <w:p w14:paraId="7162E7B2">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环境敏感区</w:t>
            </w:r>
          </w:p>
        </w:tc>
        <w:tc>
          <w:tcPr>
            <w:tcW w:w="714" w:type="pct"/>
            <w:tcBorders>
              <w:tl2br w:val="nil"/>
              <w:tr2bl w:val="nil"/>
            </w:tcBorders>
            <w:shd w:val="clear" w:color="auto" w:fill="auto"/>
            <w:vAlign w:val="center"/>
          </w:tcPr>
          <w:p w14:paraId="119ECD95">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环境敏感特</w:t>
            </w:r>
          </w:p>
        </w:tc>
        <w:tc>
          <w:tcPr>
            <w:tcW w:w="715" w:type="pct"/>
            <w:tcBorders>
              <w:tl2br w:val="nil"/>
              <w:tr2bl w:val="nil"/>
            </w:tcBorders>
            <w:shd w:val="clear" w:color="auto" w:fill="auto"/>
            <w:vAlign w:val="center"/>
          </w:tcPr>
          <w:p w14:paraId="78DB699C">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水质目标</w:t>
            </w:r>
          </w:p>
        </w:tc>
        <w:tc>
          <w:tcPr>
            <w:tcW w:w="714" w:type="pct"/>
            <w:tcBorders>
              <w:tl2br w:val="nil"/>
              <w:tr2bl w:val="nil"/>
            </w:tcBorders>
            <w:shd w:val="clear" w:color="auto" w:fill="auto"/>
            <w:vAlign w:val="center"/>
          </w:tcPr>
          <w:p w14:paraId="0D634E7D">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包气带防污性能</w:t>
            </w:r>
          </w:p>
        </w:tc>
        <w:tc>
          <w:tcPr>
            <w:tcW w:w="716" w:type="pct"/>
            <w:tcBorders>
              <w:tl2br w:val="nil"/>
              <w:tr2bl w:val="nil"/>
            </w:tcBorders>
            <w:shd w:val="clear" w:color="auto" w:fill="auto"/>
            <w:vAlign w:val="center"/>
          </w:tcPr>
          <w:p w14:paraId="31F51817">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与下游厂界距离/m</w:t>
            </w:r>
          </w:p>
        </w:tc>
      </w:tr>
      <w:tr w14:paraId="228AA2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713" w:type="pct"/>
            <w:vMerge w:val="continue"/>
            <w:tcBorders>
              <w:tl2br w:val="nil"/>
              <w:tr2bl w:val="nil"/>
            </w:tcBorders>
            <w:shd w:val="clear" w:color="auto" w:fill="auto"/>
            <w:vAlign w:val="center"/>
          </w:tcPr>
          <w:p w14:paraId="5B7DECE9">
            <w:pPr>
              <w:jc w:val="center"/>
              <w:rPr>
                <w:rFonts w:eastAsia="宋体"/>
                <w:color w:val="000000" w:themeColor="text1"/>
                <w:sz w:val="20"/>
                <w:szCs w:val="20"/>
                <w14:textFill>
                  <w14:solidFill>
                    <w14:schemeClr w14:val="tx1"/>
                  </w14:solidFill>
                </w14:textFill>
              </w:rPr>
            </w:pPr>
          </w:p>
        </w:tc>
        <w:tc>
          <w:tcPr>
            <w:tcW w:w="713" w:type="pct"/>
            <w:tcBorders>
              <w:tl2br w:val="nil"/>
              <w:tr2bl w:val="nil"/>
            </w:tcBorders>
            <w:shd w:val="clear" w:color="auto" w:fill="auto"/>
            <w:vAlign w:val="center"/>
          </w:tcPr>
          <w:p w14:paraId="5E24CA9A">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1</w:t>
            </w:r>
          </w:p>
        </w:tc>
        <w:tc>
          <w:tcPr>
            <w:tcW w:w="713" w:type="pct"/>
            <w:tcBorders>
              <w:tl2br w:val="nil"/>
              <w:tr2bl w:val="nil"/>
            </w:tcBorders>
            <w:shd w:val="clear" w:color="auto" w:fill="auto"/>
            <w:vAlign w:val="center"/>
          </w:tcPr>
          <w:p w14:paraId="2830BD69">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黑龙江省沃科丰农业科技有限公司S1</w:t>
            </w:r>
          </w:p>
        </w:tc>
        <w:tc>
          <w:tcPr>
            <w:tcW w:w="714" w:type="pct"/>
            <w:tcBorders>
              <w:tl2br w:val="nil"/>
              <w:tr2bl w:val="nil"/>
            </w:tcBorders>
            <w:shd w:val="clear" w:color="auto" w:fill="auto"/>
            <w:vAlign w:val="center"/>
          </w:tcPr>
          <w:p w14:paraId="2534B98C">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G3</w:t>
            </w:r>
          </w:p>
        </w:tc>
        <w:tc>
          <w:tcPr>
            <w:tcW w:w="715" w:type="pct"/>
            <w:tcBorders>
              <w:tl2br w:val="nil"/>
              <w:tr2bl w:val="nil"/>
            </w:tcBorders>
            <w:shd w:val="clear" w:color="auto" w:fill="auto"/>
            <w:vAlign w:val="center"/>
          </w:tcPr>
          <w:p w14:paraId="04203F7C">
            <w:pPr>
              <w:widowControl/>
              <w:jc w:val="left"/>
              <w:textAlignment w:val="center"/>
              <w:rPr>
                <w:rFonts w:eastAsia="宋体"/>
                <w:color w:val="000000" w:themeColor="text1"/>
                <w:sz w:val="20"/>
                <w:szCs w:val="20"/>
                <w14:textFill>
                  <w14:solidFill>
                    <w14:schemeClr w14:val="tx1"/>
                  </w14:solidFill>
                </w14:textFill>
              </w:rPr>
            </w:pPr>
            <w:r>
              <w:rPr>
                <w:rFonts w:hint="eastAsia" w:eastAsia="宋体"/>
                <w:color w:val="000000" w:themeColor="text1"/>
                <w:sz w:val="20"/>
                <w:szCs w:val="20"/>
                <w14:textFill>
                  <w14:solidFill>
                    <w14:schemeClr w14:val="tx1"/>
                  </w14:solidFill>
                </w14:textFill>
              </w:rPr>
              <w:t>Ⅳ</w:t>
            </w:r>
            <w:r>
              <w:rPr>
                <w:rFonts w:eastAsia="宋体"/>
                <w:color w:val="000000" w:themeColor="text1"/>
                <w:sz w:val="20"/>
                <w:szCs w:val="20"/>
                <w14:textFill>
                  <w14:solidFill>
                    <w14:schemeClr w14:val="tx1"/>
                  </w14:solidFill>
                </w14:textFill>
              </w:rPr>
              <w:t>类</w:t>
            </w:r>
          </w:p>
        </w:tc>
        <w:tc>
          <w:tcPr>
            <w:tcW w:w="714" w:type="pct"/>
            <w:tcBorders>
              <w:tl2br w:val="nil"/>
              <w:tr2bl w:val="nil"/>
            </w:tcBorders>
            <w:shd w:val="clear" w:color="auto" w:fill="auto"/>
            <w:vAlign w:val="center"/>
          </w:tcPr>
          <w:p w14:paraId="5EF7A87A">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D2</w:t>
            </w:r>
          </w:p>
        </w:tc>
        <w:tc>
          <w:tcPr>
            <w:tcW w:w="716" w:type="pct"/>
            <w:tcBorders>
              <w:tl2br w:val="nil"/>
              <w:tr2bl w:val="nil"/>
            </w:tcBorders>
            <w:shd w:val="clear" w:color="auto" w:fill="auto"/>
            <w:vAlign w:val="center"/>
          </w:tcPr>
          <w:p w14:paraId="03776A0E">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w:t>
            </w:r>
          </w:p>
        </w:tc>
      </w:tr>
      <w:tr w14:paraId="6DC9AC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713" w:type="pct"/>
            <w:vMerge w:val="continue"/>
            <w:tcBorders>
              <w:tl2br w:val="nil"/>
              <w:tr2bl w:val="nil"/>
            </w:tcBorders>
            <w:shd w:val="clear" w:color="auto" w:fill="auto"/>
            <w:vAlign w:val="center"/>
          </w:tcPr>
          <w:p w14:paraId="1E21B404">
            <w:pPr>
              <w:jc w:val="center"/>
              <w:rPr>
                <w:rFonts w:eastAsia="宋体"/>
                <w:color w:val="000000" w:themeColor="text1"/>
                <w:sz w:val="20"/>
                <w:szCs w:val="20"/>
                <w14:textFill>
                  <w14:solidFill>
                    <w14:schemeClr w14:val="tx1"/>
                  </w14:solidFill>
                </w14:textFill>
              </w:rPr>
            </w:pPr>
          </w:p>
        </w:tc>
        <w:tc>
          <w:tcPr>
            <w:tcW w:w="3570" w:type="pct"/>
            <w:gridSpan w:val="5"/>
            <w:tcBorders>
              <w:tl2br w:val="nil"/>
              <w:tr2bl w:val="nil"/>
            </w:tcBorders>
            <w:shd w:val="clear" w:color="auto" w:fill="auto"/>
            <w:vAlign w:val="center"/>
          </w:tcPr>
          <w:p w14:paraId="6B4B8366">
            <w:pPr>
              <w:widowControl/>
              <w:jc w:val="center"/>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地下水环境敏感目标程度E值</w:t>
            </w:r>
          </w:p>
        </w:tc>
        <w:tc>
          <w:tcPr>
            <w:tcW w:w="716" w:type="pct"/>
            <w:tcBorders>
              <w:tl2br w:val="nil"/>
              <w:tr2bl w:val="nil"/>
            </w:tcBorders>
            <w:shd w:val="clear" w:color="auto" w:fill="auto"/>
            <w:vAlign w:val="center"/>
          </w:tcPr>
          <w:p w14:paraId="2D788A78">
            <w:pPr>
              <w:widowControl/>
              <w:jc w:val="left"/>
              <w:textAlignment w:val="center"/>
              <w:rPr>
                <w:rFonts w:eastAsia="宋体"/>
                <w:color w:val="000000" w:themeColor="text1"/>
                <w:sz w:val="20"/>
                <w:szCs w:val="20"/>
                <w14:textFill>
                  <w14:solidFill>
                    <w14:schemeClr w14:val="tx1"/>
                  </w14:solidFill>
                </w14:textFill>
              </w:rPr>
            </w:pPr>
            <w:r>
              <w:rPr>
                <w:rFonts w:eastAsia="宋体"/>
                <w:color w:val="000000" w:themeColor="text1"/>
                <w:kern w:val="0"/>
                <w:sz w:val="20"/>
                <w:szCs w:val="20"/>
                <w:lang w:bidi="ar"/>
                <w14:textFill>
                  <w14:solidFill>
                    <w14:schemeClr w14:val="tx1"/>
                  </w14:solidFill>
                </w14:textFill>
              </w:rPr>
              <w:t>E3</w:t>
            </w:r>
          </w:p>
        </w:tc>
      </w:tr>
    </w:tbl>
    <w:p w14:paraId="2153A0EE">
      <w:pPr>
        <w:widowControl/>
        <w:kinsoku w:val="0"/>
        <w:autoSpaceDE w:val="0"/>
        <w:autoSpaceDN w:val="0"/>
        <w:adjustRightInd w:val="0"/>
        <w:snapToGrid w:val="0"/>
        <w:spacing w:line="131" w:lineRule="exact"/>
        <w:jc w:val="left"/>
        <w:textAlignment w:val="baseline"/>
        <w:rPr>
          <w:rFonts w:eastAsia="宋体"/>
          <w:snapToGrid w:val="0"/>
          <w:color w:val="000000" w:themeColor="text1"/>
          <w:kern w:val="0"/>
          <w:szCs w:val="21"/>
          <w:lang w:eastAsia="en-US"/>
          <w14:textFill>
            <w14:solidFill>
              <w14:schemeClr w14:val="tx1"/>
            </w14:solidFill>
          </w14:textFill>
        </w:rPr>
      </w:pPr>
    </w:p>
    <w:p w14:paraId="4117762C">
      <w:pPr>
        <w:widowControl/>
        <w:kinsoku w:val="0"/>
        <w:autoSpaceDE w:val="0"/>
        <w:autoSpaceDN w:val="0"/>
        <w:adjustRightInd w:val="0"/>
        <w:snapToGrid w:val="0"/>
        <w:spacing w:line="131" w:lineRule="exact"/>
        <w:jc w:val="left"/>
        <w:textAlignment w:val="baseline"/>
        <w:rPr>
          <w:rFonts w:eastAsia="宋体"/>
          <w:snapToGrid w:val="0"/>
          <w:color w:val="000000" w:themeColor="text1"/>
          <w:kern w:val="0"/>
          <w:szCs w:val="21"/>
          <w:lang w:eastAsia="en-US"/>
          <w14:textFill>
            <w14:solidFill>
              <w14:schemeClr w14:val="tx1"/>
            </w14:solidFill>
          </w14:textFill>
        </w:rPr>
      </w:pPr>
    </w:p>
    <w:p w14:paraId="407C2FEB">
      <w:pPr>
        <w:widowControl/>
        <w:kinsoku w:val="0"/>
        <w:autoSpaceDE w:val="0"/>
        <w:autoSpaceDN w:val="0"/>
        <w:adjustRightInd w:val="0"/>
        <w:snapToGrid w:val="0"/>
        <w:spacing w:before="28"/>
        <w:jc w:val="left"/>
        <w:textAlignment w:val="baseline"/>
        <w:rPr>
          <w:rFonts w:eastAsia="宋体"/>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anchor distT="0" distB="0" distL="114300" distR="114300" simplePos="0" relativeHeight="251676672" behindDoc="0" locked="0" layoutInCell="1" allowOverlap="1">
                <wp:simplePos x="0" y="0"/>
                <wp:positionH relativeFrom="column">
                  <wp:posOffset>4329430</wp:posOffset>
                </wp:positionH>
                <wp:positionV relativeFrom="paragraph">
                  <wp:posOffset>3636010</wp:posOffset>
                </wp:positionV>
                <wp:extent cx="1717040" cy="1027430"/>
                <wp:effectExtent l="4445" t="4445" r="12065" b="15875"/>
                <wp:wrapNone/>
                <wp:docPr id="28" name="组合 9"/>
                <wp:cNvGraphicFramePr/>
                <a:graphic xmlns:a="http://schemas.openxmlformats.org/drawingml/2006/main">
                  <a:graphicData uri="http://schemas.microsoft.com/office/word/2010/wordprocessingGroup">
                    <wpg:wgp>
                      <wpg:cNvGrpSpPr/>
                      <wpg:grpSpPr>
                        <a:xfrm>
                          <a:off x="0" y="0"/>
                          <a:ext cx="1717040" cy="1027430"/>
                          <a:chOff x="11465" y="260159"/>
                          <a:chExt cx="2704" cy="1618"/>
                        </a:xfrm>
                      </wpg:grpSpPr>
                      <wps:wsp>
                        <wps:cNvPr id="30" name="文本框 4"/>
                        <wps:cNvSpPr txBox="1"/>
                        <wps:spPr>
                          <a:xfrm>
                            <a:off x="11465" y="260159"/>
                            <a:ext cx="2704" cy="161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104669">
                              <w:pPr>
                                <w:jc w:val="center"/>
                              </w:pPr>
                              <w:r>
                                <w:rPr>
                                  <w:rFonts w:hint="eastAsia"/>
                                </w:rPr>
                                <w:t>图例</w:t>
                              </w:r>
                            </w:p>
                            <w:p w14:paraId="096CA55F">
                              <w:pPr>
                                <w:pStyle w:val="189"/>
                                <w:ind w:firstLine="420" w:firstLineChars="200"/>
                                <w:rPr>
                                  <w:rFonts w:ascii="Times New Roman" w:hAnsi="Times New Roman" w:eastAsia="宋体"/>
                                  <w:sz w:val="21"/>
                                </w:rPr>
                              </w:pPr>
                              <w:r>
                                <w:rPr>
                                  <w:rFonts w:hint="eastAsia" w:ascii="Times New Roman" w:hAnsi="Times New Roman" w:eastAsia="宋体"/>
                                  <w:sz w:val="21"/>
                                </w:rPr>
                                <w:t>厂界</w:t>
                              </w:r>
                            </w:p>
                            <w:p w14:paraId="3FB0131B">
                              <w:pPr>
                                <w:pStyle w:val="189"/>
                                <w:ind w:firstLine="420" w:firstLineChars="200"/>
                                <w:rPr>
                                  <w:rFonts w:ascii="Times New Roman" w:hAnsi="Times New Roman" w:eastAsia="宋体"/>
                                  <w:sz w:val="21"/>
                                </w:rPr>
                              </w:pPr>
                              <w:r>
                                <w:rPr>
                                  <w:rFonts w:hint="eastAsia" w:ascii="Times New Roman" w:hAnsi="Times New Roman" w:eastAsia="宋体"/>
                                  <w:sz w:val="21"/>
                                </w:rPr>
                                <w:t>环境风险评价范围</w:t>
                              </w:r>
                            </w:p>
                            <w:p w14:paraId="1C816CE6">
                              <w:pPr>
                                <w:pStyle w:val="189"/>
                                <w:ind w:firstLine="420" w:firstLineChars="200"/>
                                <w:rPr>
                                  <w:rFonts w:ascii="Times New Roman" w:hAnsi="Times New Roman" w:eastAsia="宋体"/>
                                  <w:sz w:val="21"/>
                                </w:rPr>
                              </w:pPr>
                              <w:r>
                                <w:rPr>
                                  <w:rFonts w:hint="eastAsia" w:ascii="Times New Roman" w:hAnsi="Times New Roman" w:eastAsia="宋体"/>
                                  <w:sz w:val="21"/>
                                </w:rPr>
                                <w:t>环境空气保护范围</w:t>
                              </w:r>
                            </w:p>
                            <w:p w14:paraId="0802FB5D">
                              <w:pPr>
                                <w:pStyle w:val="189"/>
                                <w:ind w:firstLine="420" w:firstLineChars="200"/>
                                <w:rPr>
                                  <w:rFonts w:ascii="Times New Roman" w:hAnsi="Times New Roman" w:eastAsia="宋体"/>
                                  <w:sz w:val="21"/>
                                </w:rPr>
                              </w:pPr>
                            </w:p>
                          </w:txbxContent>
                        </wps:txbx>
                        <wps:bodyPr vert="horz" wrap="square" anchor="t" anchorCtr="0" upright="1"/>
                      </wps:wsp>
                      <wps:wsp>
                        <wps:cNvPr id="32" name="文本框 5"/>
                        <wps:cNvSpPr txBox="1"/>
                        <wps:spPr>
                          <a:xfrm>
                            <a:off x="11582" y="260541"/>
                            <a:ext cx="417" cy="196"/>
                          </a:xfrm>
                          <a:prstGeom prst="rect">
                            <a:avLst/>
                          </a:prstGeom>
                          <a:solidFill>
                            <a:srgbClr val="FFFFFF"/>
                          </a:solidFill>
                          <a:ln w="9525" cap="flat" cmpd="sng">
                            <a:solidFill>
                              <a:srgbClr val="FF0000"/>
                            </a:solidFill>
                            <a:prstDash val="solid"/>
                            <a:miter/>
                            <a:headEnd type="none" w="med" len="med"/>
                            <a:tailEnd type="none" w="med" len="med"/>
                          </a:ln>
                        </wps:spPr>
                        <wps:txbx>
                          <w:txbxContent>
                            <w:p w14:paraId="2FF1C673"/>
                          </w:txbxContent>
                        </wps:txbx>
                        <wps:bodyPr vert="horz" wrap="square" anchor="t" anchorCtr="0" upright="1"/>
                      </wps:wsp>
                      <wps:wsp>
                        <wps:cNvPr id="33" name="文本框 6"/>
                        <wps:cNvSpPr txBox="1"/>
                        <wps:spPr>
                          <a:xfrm>
                            <a:off x="11582" y="260810"/>
                            <a:ext cx="417" cy="196"/>
                          </a:xfrm>
                          <a:prstGeom prst="rect">
                            <a:avLst/>
                          </a:prstGeom>
                          <a:solidFill>
                            <a:srgbClr val="FFFFFF"/>
                          </a:solidFill>
                          <a:ln w="9525" cap="flat" cmpd="sng">
                            <a:solidFill>
                              <a:srgbClr val="0070C0"/>
                            </a:solidFill>
                            <a:prstDash val="solid"/>
                            <a:miter/>
                            <a:headEnd type="none" w="med" len="med"/>
                            <a:tailEnd type="none" w="med" len="med"/>
                          </a:ln>
                        </wps:spPr>
                        <wps:txbx>
                          <w:txbxContent>
                            <w:p w14:paraId="2FA80A62"/>
                          </w:txbxContent>
                        </wps:txbx>
                        <wps:bodyPr vert="horz" wrap="square" anchor="t" anchorCtr="0" upright="1"/>
                      </wps:wsp>
                      <wps:wsp>
                        <wps:cNvPr id="40" name="文本框 7"/>
                        <wps:cNvSpPr txBox="1"/>
                        <wps:spPr>
                          <a:xfrm>
                            <a:off x="11582" y="261079"/>
                            <a:ext cx="417" cy="196"/>
                          </a:xfrm>
                          <a:prstGeom prst="rect">
                            <a:avLst/>
                          </a:prstGeom>
                          <a:solidFill>
                            <a:srgbClr val="00B0F0"/>
                          </a:solidFill>
                          <a:ln w="9525" cap="flat" cmpd="sng">
                            <a:solidFill>
                              <a:srgbClr val="FFFF00"/>
                            </a:solidFill>
                            <a:prstDash val="solid"/>
                            <a:miter/>
                            <a:headEnd type="none" w="med" len="med"/>
                            <a:tailEnd type="none" w="med" len="med"/>
                          </a:ln>
                        </wps:spPr>
                        <wps:txbx>
                          <w:txbxContent>
                            <w:p w14:paraId="0B13C574">
                              <w:pPr>
                                <w:rPr>
                                  <w:color w:val="000000"/>
                                  <w14:textFill>
                                    <w14:solidFill>
                                      <w14:srgbClr w14:val="000000">
                                        <w14:alpha w14:val="54000"/>
                                      </w14:srgbClr>
                                    </w14:solidFill>
                                  </w14:textFill>
                                </w:rPr>
                              </w:pPr>
                            </w:p>
                          </w:txbxContent>
                        </wps:txbx>
                        <wps:bodyPr vert="horz" wrap="square" anchor="t" anchorCtr="0" upright="1"/>
                      </wps:wsp>
                    </wpg:wgp>
                  </a:graphicData>
                </a:graphic>
              </wp:anchor>
            </w:drawing>
          </mc:Choice>
          <mc:Fallback>
            <w:pict>
              <v:group id="组合 9" o:spid="_x0000_s1026" o:spt="203" style="position:absolute;left:0pt;margin-left:340.9pt;margin-top:286.3pt;height:80.9pt;width:135.2pt;z-index:251676672;mso-width-relative:page;mso-height-relative:page;" coordorigin="11465,260159" coordsize="2704,1618" o:gfxdata="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UJpoxtwAAAALAQAADwAAAAAAAAABACAAAAAiAAAA&#10;ZHJzL2Rvd25yZXYueG1sUEsBAhQAFAAAAAgAh07iQMTTGFwgAwAATQ0AAA4AAAAAAAAAAQAgAAAA&#10;KwEAAGRycy9lMm9Eb2MueG1sUEsFBgAAAAAGAAYAWQEAAL0GAAAAAA==&#10;">
                <o:lock v:ext="edit" aspectratio="f"/>
                <v:shape id="文本框 4" o:spid="_x0000_s1026" o:spt="202" type="#_x0000_t202" style="position:absolute;left:11465;top:260159;height:1618;width:2704;"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5104669">
                        <w:pPr>
                          <w:jc w:val="center"/>
                        </w:pPr>
                        <w:r>
                          <w:rPr>
                            <w:rFonts w:hint="eastAsia"/>
                          </w:rPr>
                          <w:t>图例</w:t>
                        </w:r>
                      </w:p>
                      <w:p w14:paraId="096CA55F">
                        <w:pPr>
                          <w:pStyle w:val="189"/>
                          <w:ind w:firstLine="420" w:firstLineChars="200"/>
                          <w:rPr>
                            <w:rFonts w:ascii="Times New Roman" w:hAnsi="Times New Roman" w:eastAsia="宋体"/>
                            <w:sz w:val="21"/>
                          </w:rPr>
                        </w:pPr>
                        <w:r>
                          <w:rPr>
                            <w:rFonts w:hint="eastAsia" w:ascii="Times New Roman" w:hAnsi="Times New Roman" w:eastAsia="宋体"/>
                            <w:sz w:val="21"/>
                          </w:rPr>
                          <w:t>厂界</w:t>
                        </w:r>
                      </w:p>
                      <w:p w14:paraId="3FB0131B">
                        <w:pPr>
                          <w:pStyle w:val="189"/>
                          <w:ind w:firstLine="420" w:firstLineChars="200"/>
                          <w:rPr>
                            <w:rFonts w:ascii="Times New Roman" w:hAnsi="Times New Roman" w:eastAsia="宋体"/>
                            <w:sz w:val="21"/>
                          </w:rPr>
                        </w:pPr>
                        <w:r>
                          <w:rPr>
                            <w:rFonts w:hint="eastAsia" w:ascii="Times New Roman" w:hAnsi="Times New Roman" w:eastAsia="宋体"/>
                            <w:sz w:val="21"/>
                          </w:rPr>
                          <w:t>环境风险评价范围</w:t>
                        </w:r>
                      </w:p>
                      <w:p w14:paraId="1C816CE6">
                        <w:pPr>
                          <w:pStyle w:val="189"/>
                          <w:ind w:firstLine="420" w:firstLineChars="200"/>
                          <w:rPr>
                            <w:rFonts w:ascii="Times New Roman" w:hAnsi="Times New Roman" w:eastAsia="宋体"/>
                            <w:sz w:val="21"/>
                          </w:rPr>
                        </w:pPr>
                        <w:r>
                          <w:rPr>
                            <w:rFonts w:hint="eastAsia" w:ascii="Times New Roman" w:hAnsi="Times New Roman" w:eastAsia="宋体"/>
                            <w:sz w:val="21"/>
                          </w:rPr>
                          <w:t>环境空气保护范围</w:t>
                        </w:r>
                      </w:p>
                      <w:p w14:paraId="0802FB5D">
                        <w:pPr>
                          <w:pStyle w:val="189"/>
                          <w:ind w:firstLine="420" w:firstLineChars="200"/>
                          <w:rPr>
                            <w:rFonts w:ascii="Times New Roman" w:hAnsi="Times New Roman" w:eastAsia="宋体"/>
                            <w:sz w:val="21"/>
                          </w:rPr>
                        </w:pPr>
                      </w:p>
                    </w:txbxContent>
                  </v:textbox>
                </v:shape>
                <v:shape id="文本框 5" o:spid="_x0000_s1026" o:spt="202" type="#_x0000_t202" style="position:absolute;left:11582;top:260541;height:196;width:417;" fillcolor="#FFFFFF" filled="t" stroked="t" coordsize="21600,21600" o:gfxdata="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uSE174A&#10;AADbAAAADwAAAAAAAAABACAAAAAiAAAAZHJzL2Rvd25yZXYueG1sUEsBAhQAFAAAAAgAh07iQDMv&#10;BZ47AAAAOQAAABAAAAAAAAAAAQAgAAAADQEAAGRycy9zaGFwZXhtbC54bWxQSwUGAAAAAAYABgBb&#10;AQAAtwMAAAAA&#10;">
                  <v:fill on="t" focussize="0,0"/>
                  <v:stroke color="#FF0000" joinstyle="miter"/>
                  <v:imagedata o:title=""/>
                  <o:lock v:ext="edit" aspectratio="f"/>
                  <v:textbox>
                    <w:txbxContent>
                      <w:p w14:paraId="2FF1C673"/>
                    </w:txbxContent>
                  </v:textbox>
                </v:shape>
                <v:shape id="文本框 6" o:spid="_x0000_s1026" o:spt="202" type="#_x0000_t202" style="position:absolute;left:11582;top:260810;height:196;width:417;" fillcolor="#FFFFFF" filled="t" stroked="t" coordsize="21600,21600" o:gfxdata="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zGL8vQAA&#10;ANsAAAAPAAAAAAAAAAEAIAAAACIAAABkcnMvZG93bnJldi54bWxQSwECFAAUAAAACACHTuJAMy8F&#10;njsAAAA5AAAAEAAAAAAAAAABACAAAAAMAQAAZHJzL3NoYXBleG1sLnhtbFBLBQYAAAAABgAGAFsB&#10;AAC2AwAAAAA=&#10;">
                  <v:fill on="t" focussize="0,0"/>
                  <v:stroke color="#0070C0" joinstyle="miter"/>
                  <v:imagedata o:title=""/>
                  <o:lock v:ext="edit" aspectratio="f"/>
                  <v:textbox>
                    <w:txbxContent>
                      <w:p w14:paraId="2FA80A62"/>
                    </w:txbxContent>
                  </v:textbox>
                </v:shape>
                <v:shape id="文本框 7" o:spid="_x0000_s1026" o:spt="202" type="#_x0000_t202" style="position:absolute;left:11582;top:261079;height:196;width:417;" fillcolor="#00B0F0" filled="t" stroked="t" coordsize="21600,21600" o:gfxdata="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FmK/7gAAADbAAAA&#10;DwAAAAAAAAABACAAAAAiAAAAZHJzL2Rvd25yZXYueG1sUEsBAhQAFAAAAAgAh07iQDMvBZ47AAAA&#10;OQAAABAAAAAAAAAAAQAgAAAABwEAAGRycy9zaGFwZXhtbC54bWxQSwUGAAAAAAYABgBbAQAAsQMA&#10;AAAA&#10;">
                  <v:fill on="t" focussize="0,0"/>
                  <v:stroke color="#FFFF00" joinstyle="miter"/>
                  <v:imagedata o:title=""/>
                  <o:lock v:ext="edit" aspectratio="f"/>
                  <v:textbox>
                    <w:txbxContent>
                      <w:p w14:paraId="0B13C574">
                        <w:pPr>
                          <w:rPr>
                            <w:color w:val="000000"/>
                            <w14:textFill>
                              <w14:solidFill>
                                <w14:srgbClr w14:val="000000">
                                  <w14:alpha w14:val="54000"/>
                                </w14:srgbClr>
                              </w14:solidFill>
                            </w14:textFill>
                          </w:rPr>
                        </w:pPr>
                      </w:p>
                    </w:txbxContent>
                  </v:textbox>
                </v:shape>
              </v:group>
            </w:pict>
          </mc:Fallback>
        </mc:AlternateContent>
      </w:r>
      <w:r>
        <w:rPr>
          <w:rFonts w:eastAsia="宋体"/>
          <w:color w:val="000000" w:themeColor="text1"/>
          <w14:textFill>
            <w14:solidFill>
              <w14:schemeClr w14:val="tx1"/>
            </w14:solidFill>
          </w14:textFill>
        </w:rPr>
        <w:drawing>
          <wp:inline distT="0" distB="0" distL="114300" distR="114300">
            <wp:extent cx="5755005" cy="4478020"/>
            <wp:effectExtent l="0" t="0" r="17145" b="17780"/>
            <wp:docPr id="7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6"/>
                    <pic:cNvPicPr>
                      <a:picLocks noChangeAspect="1"/>
                    </pic:cNvPicPr>
                  </pic:nvPicPr>
                  <pic:blipFill>
                    <a:blip r:embed="rId73"/>
                    <a:stretch>
                      <a:fillRect/>
                    </a:stretch>
                  </pic:blipFill>
                  <pic:spPr>
                    <a:xfrm>
                      <a:off x="0" y="0"/>
                      <a:ext cx="5755005" cy="4478020"/>
                    </a:xfrm>
                    <a:prstGeom prst="rect">
                      <a:avLst/>
                    </a:prstGeom>
                    <a:noFill/>
                    <a:ln>
                      <a:noFill/>
                    </a:ln>
                  </pic:spPr>
                </pic:pic>
              </a:graphicData>
            </a:graphic>
          </wp:inline>
        </w:drawing>
      </w:r>
    </w:p>
    <w:p w14:paraId="0E1E0074">
      <w:pPr>
        <w:pStyle w:val="7"/>
        <w:kinsoku w:val="0"/>
        <w:autoSpaceDE w:val="0"/>
        <w:autoSpaceDN w:val="0"/>
        <w:spacing w:before="28"/>
        <w:textAlignment w:val="baseline"/>
        <w:rPr>
          <w:color w:val="000000" w:themeColor="text1"/>
          <w14:textFill>
            <w14:solidFill>
              <w14:schemeClr w14:val="tx1"/>
            </w14:solidFill>
          </w14:textFill>
        </w:rPr>
      </w:pPr>
      <w:r>
        <w:rPr>
          <w:color w:val="000000" w:themeColor="text1"/>
          <w14:textFill>
            <w14:solidFill>
              <w14:schemeClr w14:val="tx1"/>
            </w14:solidFill>
          </w14:textFill>
        </w:rPr>
        <w:t xml:space="preserve">图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图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环境风险敏感目标分布图</w:t>
      </w:r>
    </w:p>
    <w:p w14:paraId="0F4B0DE3">
      <w:pPr>
        <w:pStyle w:val="184"/>
        <w:rPr>
          <w:rFonts w:hint="default" w:cs="Times New Roman"/>
          <w:snapToGrid w:val="0"/>
          <w:color w:val="000000" w:themeColor="text1"/>
          <w:szCs w:val="24"/>
          <w14:textFill>
            <w14:solidFill>
              <w14:schemeClr w14:val="tx1"/>
            </w14:solidFill>
          </w14:textFill>
        </w:rPr>
      </w:pPr>
      <w:bookmarkStart w:id="107" w:name="_Toc192084907"/>
      <w:bookmarkStart w:id="108" w:name="_Toc8397"/>
      <w:bookmarkStart w:id="109" w:name="_Toc191543576"/>
      <w:bookmarkStart w:id="110" w:name="_Toc1630"/>
      <w:bookmarkStart w:id="111" w:name="_Toc190759000"/>
      <w:r>
        <w:rPr>
          <w:rFonts w:hint="default" w:cs="Times New Roman"/>
          <w:snapToGrid w:val="0"/>
          <w:color w:val="000000" w:themeColor="text1"/>
          <w:szCs w:val="24"/>
          <w14:textFill>
            <w14:solidFill>
              <w14:schemeClr w14:val="tx1"/>
            </w14:solidFill>
          </w14:textFill>
        </w:rPr>
        <w:t>6.</w:t>
      </w:r>
      <w:r>
        <w:rPr>
          <w:rFonts w:hint="default" w:cs="Times New Roman"/>
          <w:snapToGrid w:val="0"/>
          <w:color w:val="000000" w:themeColor="text1"/>
          <w:spacing w:val="-2"/>
          <w:szCs w:val="24"/>
          <w14:textFill>
            <w14:solidFill>
              <w14:schemeClr w14:val="tx1"/>
            </w14:solidFill>
          </w14:textFill>
        </w:rPr>
        <w:t>环境风险潜势初判</w:t>
      </w:r>
      <w:bookmarkEnd w:id="107"/>
      <w:bookmarkEnd w:id="108"/>
      <w:bookmarkEnd w:id="109"/>
      <w:bookmarkEnd w:id="110"/>
      <w:bookmarkEnd w:id="111"/>
    </w:p>
    <w:p w14:paraId="570D4FB5">
      <w:pPr>
        <w:pStyle w:val="147"/>
        <w:ind w:firstLine="474"/>
        <w:rPr>
          <w:color w:val="000000" w:themeColor="text1"/>
          <w14:textFill>
            <w14:solidFill>
              <w14:schemeClr w14:val="tx1"/>
            </w14:solidFill>
          </w14:textFill>
        </w:rPr>
      </w:pPr>
      <w:r>
        <w:rPr>
          <w:b/>
          <w:bCs/>
          <w:color w:val="000000" w:themeColor="text1"/>
          <w:spacing w:val="-2"/>
          <w14:textFill>
            <w14:solidFill>
              <w14:schemeClr w14:val="tx1"/>
            </w14:solidFill>
          </w14:textFill>
        </w:rPr>
        <w:t>6.1环境风险潜势划分</w:t>
      </w:r>
    </w:p>
    <w:p w14:paraId="29CD3C9B">
      <w:pPr>
        <w:pStyle w:val="186"/>
        <w:ind w:firstLine="476"/>
        <w:rPr>
          <w:rFonts w:cs="Times New Roman"/>
          <w:color w:val="000000" w:themeColor="text1"/>
          <w:spacing w:val="-2"/>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建设项目环境风险潜势划分为Ⅰ、Ⅱ、Ⅲ、IV</w:t>
      </w:r>
      <w:r>
        <w:rPr>
          <w:rFonts w:cs="Times New Roman"/>
          <w:color w:val="000000" w:themeColor="text1"/>
          <w:spacing w:val="-2"/>
          <w:kern w:val="0"/>
          <w:szCs w:val="24"/>
          <w14:textFill>
            <w14:solidFill>
              <w14:schemeClr w14:val="tx1"/>
            </w14:solidFill>
          </w14:textFill>
        </w:rPr>
        <w:t>/IV</w:t>
      </w:r>
      <w:r>
        <w:rPr>
          <w:rFonts w:cs="Times New Roman"/>
          <w:color w:val="000000" w:themeColor="text1"/>
          <w:spacing w:val="-2"/>
          <w:kern w:val="0"/>
          <w:position w:val="8"/>
          <w:sz w:val="15"/>
          <w:szCs w:val="15"/>
          <w14:textFill>
            <w14:solidFill>
              <w14:schemeClr w14:val="tx1"/>
            </w14:solidFill>
          </w14:textFill>
        </w:rPr>
        <w:t>+</w:t>
      </w:r>
      <w:r>
        <w:rPr>
          <w:rFonts w:cs="Times New Roman"/>
          <w:color w:val="000000" w:themeColor="text1"/>
          <w:spacing w:val="-2"/>
          <w:kern w:val="0"/>
          <w:szCs w:val="24"/>
          <w14:textFill>
            <w14:solidFill>
              <w14:schemeClr w14:val="tx1"/>
            </w14:solidFill>
          </w14:textFill>
        </w:rPr>
        <w:t>级。</w:t>
      </w:r>
    </w:p>
    <w:p w14:paraId="65E8A917">
      <w:pPr>
        <w:pStyle w:val="186"/>
        <w:ind w:firstLine="472"/>
        <w:rPr>
          <w:rFonts w:cs="Times New Roman"/>
          <w:color w:val="000000" w:themeColor="text1"/>
          <w:kern w:val="0"/>
          <w:szCs w:val="21"/>
          <w14:textFill>
            <w14:solidFill>
              <w14:schemeClr w14:val="tx1"/>
            </w14:solidFill>
          </w14:textFill>
        </w:rPr>
      </w:pPr>
      <w:r>
        <w:rPr>
          <w:rFonts w:cs="Times New Roman"/>
          <w:color w:val="000000" w:themeColor="text1"/>
          <w:spacing w:val="-2"/>
          <w:kern w:val="0"/>
          <w:szCs w:val="24"/>
          <w14:textFill>
            <w14:solidFill>
              <w14:schemeClr w14:val="tx1"/>
            </w14:solidFill>
          </w14:textFill>
        </w:rPr>
        <w:t>根据建设项目涉及的物质和</w:t>
      </w:r>
      <w:r>
        <w:rPr>
          <w:rFonts w:cs="Times New Roman"/>
          <w:color w:val="000000" w:themeColor="text1"/>
          <w:spacing w:val="-1"/>
          <w:kern w:val="0"/>
          <w:szCs w:val="24"/>
          <w14:textFill>
            <w14:solidFill>
              <w14:schemeClr w14:val="tx1"/>
            </w14:solidFill>
          </w14:textFill>
        </w:rPr>
        <w:t>工艺系统的危险性及其所在地的环境敏感程度，结合事</w:t>
      </w:r>
      <w:r>
        <w:rPr>
          <w:rFonts w:cs="Times New Roman"/>
          <w:color w:val="000000" w:themeColor="text1"/>
          <w:spacing w:val="-2"/>
          <w:kern w:val="0"/>
          <w:szCs w:val="24"/>
          <w14:textFill>
            <w14:solidFill>
              <w14:schemeClr w14:val="tx1"/>
            </w14:solidFill>
          </w14:textFill>
        </w:rPr>
        <w:t>故情形下环境影响途径，对建</w:t>
      </w:r>
      <w:r>
        <w:rPr>
          <w:rFonts w:cs="Times New Roman"/>
          <w:color w:val="000000" w:themeColor="text1"/>
          <w:spacing w:val="-1"/>
          <w:kern w:val="0"/>
          <w:szCs w:val="24"/>
          <w14:textFill>
            <w14:solidFill>
              <w14:schemeClr w14:val="tx1"/>
            </w14:solidFill>
          </w14:textFill>
        </w:rPr>
        <w:t>设项目潜在环境危害程度进行概化分析，按照下表确定环境风险潜势。</w:t>
      </w:r>
    </w:p>
    <w:p w14:paraId="471A251D">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建设项目环境风险潜势划分</w:t>
      </w:r>
    </w:p>
    <w:tbl>
      <w:tblPr>
        <w:tblStyle w:val="171"/>
        <w:tblW w:w="9018" w:type="dxa"/>
        <w:tblInd w:w="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95"/>
        <w:gridCol w:w="1702"/>
        <w:gridCol w:w="1571"/>
        <w:gridCol w:w="1693"/>
        <w:gridCol w:w="1657"/>
      </w:tblGrid>
      <w:tr w14:paraId="0A4E2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2395" w:type="dxa"/>
            <w:vMerge w:val="restart"/>
            <w:tcBorders>
              <w:top w:val="single" w:color="000000" w:sz="6" w:space="0"/>
              <w:left w:val="single" w:color="000000" w:sz="6" w:space="0"/>
              <w:bottom w:val="nil"/>
            </w:tcBorders>
            <w:vAlign w:val="center"/>
          </w:tcPr>
          <w:p w14:paraId="307BF19B">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环境敏感程度（E）</w:t>
            </w:r>
          </w:p>
        </w:tc>
        <w:tc>
          <w:tcPr>
            <w:tcW w:w="6623" w:type="dxa"/>
            <w:gridSpan w:val="4"/>
            <w:tcBorders>
              <w:top w:val="single" w:color="000000" w:sz="6" w:space="0"/>
              <w:right w:val="single" w:color="000000" w:sz="6" w:space="0"/>
            </w:tcBorders>
            <w:vAlign w:val="center"/>
          </w:tcPr>
          <w:p w14:paraId="5D9C7931">
            <w:pPr>
              <w:pStyle w:val="187"/>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危险物质及工艺系统危险性（P）</w:t>
            </w:r>
          </w:p>
        </w:tc>
      </w:tr>
      <w:tr w14:paraId="1DC45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395" w:type="dxa"/>
            <w:vMerge w:val="continue"/>
            <w:tcBorders>
              <w:top w:val="nil"/>
              <w:left w:val="single" w:color="000000" w:sz="6" w:space="0"/>
            </w:tcBorders>
            <w:vAlign w:val="center"/>
          </w:tcPr>
          <w:p w14:paraId="7BE22BF6">
            <w:pPr>
              <w:pStyle w:val="187"/>
              <w:rPr>
                <w:rFonts w:eastAsia="宋体" w:cs="Times New Roman"/>
                <w:color w:val="000000" w:themeColor="text1"/>
                <w14:textFill>
                  <w14:solidFill>
                    <w14:schemeClr w14:val="tx1"/>
                  </w14:solidFill>
                </w14:textFill>
              </w:rPr>
            </w:pPr>
          </w:p>
        </w:tc>
        <w:tc>
          <w:tcPr>
            <w:tcW w:w="1702" w:type="dxa"/>
            <w:vAlign w:val="center"/>
          </w:tcPr>
          <w:p w14:paraId="7DA0A6FC">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极高危害（P1）</w:t>
            </w:r>
          </w:p>
        </w:tc>
        <w:tc>
          <w:tcPr>
            <w:tcW w:w="1571" w:type="dxa"/>
            <w:vAlign w:val="center"/>
          </w:tcPr>
          <w:p w14:paraId="0D298B09">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高度危害（P2）</w:t>
            </w:r>
          </w:p>
        </w:tc>
        <w:tc>
          <w:tcPr>
            <w:tcW w:w="1693" w:type="dxa"/>
            <w:vAlign w:val="center"/>
          </w:tcPr>
          <w:p w14:paraId="7F2AC38F">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中度危害（P3）</w:t>
            </w:r>
          </w:p>
        </w:tc>
        <w:tc>
          <w:tcPr>
            <w:tcW w:w="1657" w:type="dxa"/>
            <w:tcBorders>
              <w:right w:val="single" w:color="000000" w:sz="6" w:space="0"/>
            </w:tcBorders>
            <w:vAlign w:val="center"/>
          </w:tcPr>
          <w:p w14:paraId="5367337A">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轻度危害（P4）</w:t>
            </w:r>
          </w:p>
        </w:tc>
      </w:tr>
      <w:tr w14:paraId="37994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395" w:type="dxa"/>
            <w:tcBorders>
              <w:left w:val="single" w:color="000000" w:sz="6" w:space="0"/>
            </w:tcBorders>
            <w:vAlign w:val="center"/>
          </w:tcPr>
          <w:p w14:paraId="7CBF549A">
            <w:pPr>
              <w:pStyle w:val="187"/>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环境高度敏感区（E1）</w:t>
            </w:r>
          </w:p>
        </w:tc>
        <w:tc>
          <w:tcPr>
            <w:tcW w:w="1702" w:type="dxa"/>
            <w:vAlign w:val="center"/>
          </w:tcPr>
          <w:p w14:paraId="5C0A688B">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Ⅳ</w:t>
            </w:r>
            <w:r>
              <w:rPr>
                <w:rFonts w:eastAsia="宋体" w:cs="Times New Roman"/>
                <w:color w:val="000000" w:themeColor="text1"/>
                <w:vertAlign w:val="superscript"/>
                <w:lang w:eastAsia="en-US"/>
                <w14:textFill>
                  <w14:solidFill>
                    <w14:schemeClr w14:val="tx1"/>
                  </w14:solidFill>
                </w14:textFill>
              </w:rPr>
              <w:t>+</w:t>
            </w:r>
          </w:p>
        </w:tc>
        <w:tc>
          <w:tcPr>
            <w:tcW w:w="1571" w:type="dxa"/>
            <w:vAlign w:val="center"/>
          </w:tcPr>
          <w:p w14:paraId="5DA4B96A">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Ⅳ</w:t>
            </w:r>
          </w:p>
        </w:tc>
        <w:tc>
          <w:tcPr>
            <w:tcW w:w="1693" w:type="dxa"/>
            <w:vAlign w:val="center"/>
          </w:tcPr>
          <w:p w14:paraId="470C0339">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Ⅲ</w:t>
            </w:r>
          </w:p>
        </w:tc>
        <w:tc>
          <w:tcPr>
            <w:tcW w:w="1657" w:type="dxa"/>
            <w:tcBorders>
              <w:right w:val="single" w:color="000000" w:sz="6" w:space="0"/>
            </w:tcBorders>
            <w:vAlign w:val="center"/>
          </w:tcPr>
          <w:p w14:paraId="6AEFDC8E">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Ⅲ</w:t>
            </w:r>
          </w:p>
        </w:tc>
      </w:tr>
      <w:tr w14:paraId="1079D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395" w:type="dxa"/>
            <w:tcBorders>
              <w:left w:val="single" w:color="000000" w:sz="6" w:space="0"/>
            </w:tcBorders>
            <w:vAlign w:val="center"/>
          </w:tcPr>
          <w:p w14:paraId="33D31CA0">
            <w:pPr>
              <w:pStyle w:val="187"/>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环境中度敏感区（E2）</w:t>
            </w:r>
          </w:p>
        </w:tc>
        <w:tc>
          <w:tcPr>
            <w:tcW w:w="1702" w:type="dxa"/>
            <w:vAlign w:val="center"/>
          </w:tcPr>
          <w:p w14:paraId="78A62C8B">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Ⅳ</w:t>
            </w:r>
          </w:p>
        </w:tc>
        <w:tc>
          <w:tcPr>
            <w:tcW w:w="1571" w:type="dxa"/>
            <w:vAlign w:val="center"/>
          </w:tcPr>
          <w:p w14:paraId="6BDD1430">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Ⅲ</w:t>
            </w:r>
          </w:p>
        </w:tc>
        <w:tc>
          <w:tcPr>
            <w:tcW w:w="1693" w:type="dxa"/>
            <w:vAlign w:val="center"/>
          </w:tcPr>
          <w:p w14:paraId="15F01135">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Ⅲ</w:t>
            </w:r>
          </w:p>
        </w:tc>
        <w:tc>
          <w:tcPr>
            <w:tcW w:w="1657" w:type="dxa"/>
            <w:tcBorders>
              <w:right w:val="single" w:color="000000" w:sz="6" w:space="0"/>
            </w:tcBorders>
            <w:vAlign w:val="center"/>
          </w:tcPr>
          <w:p w14:paraId="2850A598">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Ⅱ</w:t>
            </w:r>
          </w:p>
        </w:tc>
      </w:tr>
      <w:tr w14:paraId="12329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395" w:type="dxa"/>
            <w:tcBorders>
              <w:left w:val="single" w:color="000000" w:sz="6" w:space="0"/>
            </w:tcBorders>
            <w:vAlign w:val="center"/>
          </w:tcPr>
          <w:p w14:paraId="6B2D188D">
            <w:pPr>
              <w:pStyle w:val="187"/>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环境低度敏感区（E3）</w:t>
            </w:r>
          </w:p>
        </w:tc>
        <w:tc>
          <w:tcPr>
            <w:tcW w:w="1702" w:type="dxa"/>
            <w:vAlign w:val="center"/>
          </w:tcPr>
          <w:p w14:paraId="0E7773DE">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Ⅲ</w:t>
            </w:r>
          </w:p>
        </w:tc>
        <w:tc>
          <w:tcPr>
            <w:tcW w:w="1571" w:type="dxa"/>
            <w:vAlign w:val="center"/>
          </w:tcPr>
          <w:p w14:paraId="09C01B33">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Ⅲ</w:t>
            </w:r>
          </w:p>
        </w:tc>
        <w:tc>
          <w:tcPr>
            <w:tcW w:w="1693" w:type="dxa"/>
            <w:vAlign w:val="center"/>
          </w:tcPr>
          <w:p w14:paraId="6B5C28DB">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Ⅱ</w:t>
            </w:r>
          </w:p>
        </w:tc>
        <w:tc>
          <w:tcPr>
            <w:tcW w:w="1657" w:type="dxa"/>
            <w:tcBorders>
              <w:right w:val="single" w:color="000000" w:sz="6" w:space="0"/>
            </w:tcBorders>
            <w:vAlign w:val="center"/>
          </w:tcPr>
          <w:p w14:paraId="375A5BA3">
            <w:pPr>
              <w:pStyle w:val="187"/>
              <w:rPr>
                <w:rFonts w:eastAsia="宋体" w:cs="Times New Roman"/>
                <w:color w:val="000000" w:themeColor="text1"/>
                <w:lang w:eastAsia="en-US"/>
                <w14:textFill>
                  <w14:solidFill>
                    <w14:schemeClr w14:val="tx1"/>
                  </w14:solidFill>
                </w14:textFill>
              </w:rPr>
            </w:pPr>
            <w:r>
              <w:rPr>
                <w:rFonts w:eastAsia="宋体" w:cs="Times New Roman"/>
                <w:color w:val="000000" w:themeColor="text1"/>
                <w:lang w:eastAsia="en-US"/>
                <w14:textFill>
                  <w14:solidFill>
                    <w14:schemeClr w14:val="tx1"/>
                  </w14:solidFill>
                </w14:textFill>
              </w:rPr>
              <w:t>Ⅰ</w:t>
            </w:r>
          </w:p>
        </w:tc>
      </w:tr>
      <w:tr w14:paraId="1E836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9018" w:type="dxa"/>
            <w:gridSpan w:val="5"/>
            <w:tcBorders>
              <w:left w:val="single" w:color="000000" w:sz="6" w:space="0"/>
              <w:bottom w:val="single" w:color="000000" w:sz="6" w:space="0"/>
              <w:right w:val="single" w:color="000000" w:sz="6" w:space="0"/>
            </w:tcBorders>
            <w:vAlign w:val="center"/>
          </w:tcPr>
          <w:p w14:paraId="6A407FA1">
            <w:pPr>
              <w:pStyle w:val="187"/>
              <w:jc w:val="both"/>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注：Ⅳ</w:t>
            </w:r>
            <w:r>
              <w:rPr>
                <w:rFonts w:eastAsia="宋体" w:cs="Times New Roman"/>
                <w:color w:val="000000" w:themeColor="text1"/>
                <w:vertAlign w:val="superscript"/>
                <w14:textFill>
                  <w14:solidFill>
                    <w14:schemeClr w14:val="tx1"/>
                  </w14:solidFill>
                </w14:textFill>
              </w:rPr>
              <w:t>+</w:t>
            </w:r>
            <w:r>
              <w:rPr>
                <w:rFonts w:eastAsia="宋体" w:cs="Times New Roman"/>
                <w:color w:val="000000" w:themeColor="text1"/>
                <w14:textFill>
                  <w14:solidFill>
                    <w14:schemeClr w14:val="tx1"/>
                  </w14:solidFill>
                </w14:textFill>
              </w:rPr>
              <w:t>为极高环境风险</w:t>
            </w:r>
          </w:p>
        </w:tc>
      </w:tr>
    </w:tbl>
    <w:p w14:paraId="1F3EEFA8">
      <w:pPr>
        <w:pStyle w:val="147"/>
        <w:ind w:firstLine="462"/>
        <w:rPr>
          <w:color w:val="000000" w:themeColor="text1"/>
          <w14:textFill>
            <w14:solidFill>
              <w14:schemeClr w14:val="tx1"/>
            </w14:solidFill>
          </w14:textFill>
        </w:rPr>
      </w:pPr>
      <w:r>
        <w:rPr>
          <w:b/>
          <w:bCs/>
          <w:color w:val="000000" w:themeColor="text1"/>
          <w:spacing w:val="-5"/>
          <w14:textFill>
            <w14:solidFill>
              <w14:schemeClr w14:val="tx1"/>
            </w14:solidFill>
          </w14:textFill>
        </w:rPr>
        <w:t>6.2P的分级确定</w:t>
      </w:r>
    </w:p>
    <w:p w14:paraId="5E0B01E0">
      <w:pPr>
        <w:pStyle w:val="186"/>
        <w:ind w:firstLine="484"/>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分析建设项目生产、使用、储存过程中涉及的有毒有害、易燃易爆物质，参见附录B确定危险物质的临界量。定量分析危险物质数量与临界量的比值(Q)和所属行业及生产工艺特点(M)，按附录C对危险物质及工艺系统危险性(P)等级进行判断。</w:t>
      </w:r>
    </w:p>
    <w:p w14:paraId="1E079FB6">
      <w:pPr>
        <w:pStyle w:val="7"/>
        <w:rPr>
          <w:bCs/>
          <w:snapToGrid w:val="0"/>
          <w:color w:val="000000" w:themeColor="text1"/>
          <w:spacing w:val="5"/>
          <w:sz w:val="20"/>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危险物质及工艺系统危险性等级判断（P）</w:t>
      </w:r>
    </w:p>
    <w:tbl>
      <w:tblPr>
        <w:tblStyle w:val="171"/>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51"/>
        <w:gridCol w:w="1786"/>
        <w:gridCol w:w="1786"/>
        <w:gridCol w:w="1786"/>
        <w:gridCol w:w="1655"/>
      </w:tblGrid>
      <w:tr w14:paraId="4ECF4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051" w:type="dxa"/>
            <w:vMerge w:val="restart"/>
            <w:tcBorders>
              <w:bottom w:val="nil"/>
            </w:tcBorders>
          </w:tcPr>
          <w:p w14:paraId="54C4F1DA">
            <w:pPr>
              <w:kinsoku w:val="0"/>
              <w:autoSpaceDE w:val="0"/>
              <w:autoSpaceDN w:val="0"/>
              <w:adjustRightInd w:val="0"/>
              <w:snapToGrid w:val="0"/>
              <w:spacing w:before="35" w:line="234" w:lineRule="auto"/>
              <w:ind w:left="329" w:right="183" w:hanging="134"/>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8"/>
                <w:kern w:val="0"/>
                <w:sz w:val="20"/>
                <w:szCs w:val="20"/>
                <w14:textFill>
                  <w14:solidFill>
                    <w14:schemeClr w14:val="tx1"/>
                  </w14:solidFill>
                </w14:textFill>
              </w:rPr>
              <w:t>危险物质数量与临</w:t>
            </w:r>
            <w:r>
              <w:rPr>
                <w:rFonts w:eastAsia="宋体"/>
                <w:snapToGrid w:val="0"/>
                <w:color w:val="000000" w:themeColor="text1"/>
                <w:spacing w:val="6"/>
                <w:kern w:val="0"/>
                <w:sz w:val="20"/>
                <w:szCs w:val="20"/>
                <w14:textFill>
                  <w14:solidFill>
                    <w14:schemeClr w14:val="tx1"/>
                  </w14:solidFill>
                </w14:textFill>
              </w:rPr>
              <w:t>界量比值（Q）</w:t>
            </w:r>
          </w:p>
        </w:tc>
        <w:tc>
          <w:tcPr>
            <w:tcW w:w="7013" w:type="dxa"/>
            <w:gridSpan w:val="4"/>
          </w:tcPr>
          <w:p w14:paraId="1FFF0311">
            <w:pPr>
              <w:kinsoku w:val="0"/>
              <w:autoSpaceDE w:val="0"/>
              <w:autoSpaceDN w:val="0"/>
              <w:adjustRightInd w:val="0"/>
              <w:snapToGrid w:val="0"/>
              <w:spacing w:before="35" w:line="217" w:lineRule="auto"/>
              <w:ind w:left="2474"/>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7"/>
                <w:kern w:val="0"/>
                <w:sz w:val="20"/>
                <w:szCs w:val="20"/>
                <w14:textFill>
                  <w14:solidFill>
                    <w14:schemeClr w14:val="tx1"/>
                  </w14:solidFill>
                </w14:textFill>
              </w:rPr>
              <w:t>行业及生产工艺（M）</w:t>
            </w:r>
          </w:p>
        </w:tc>
      </w:tr>
      <w:tr w14:paraId="632F9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2051" w:type="dxa"/>
            <w:vMerge w:val="continue"/>
            <w:tcBorders>
              <w:top w:val="nil"/>
            </w:tcBorders>
          </w:tcPr>
          <w:p w14:paraId="723C275E">
            <w:pPr>
              <w:widowControl/>
              <w:kinsoku w:val="0"/>
              <w:autoSpaceDE w:val="0"/>
              <w:autoSpaceDN w:val="0"/>
              <w:adjustRightInd w:val="0"/>
              <w:snapToGrid w:val="0"/>
              <w:jc w:val="left"/>
              <w:textAlignment w:val="baseline"/>
              <w:rPr>
                <w:rFonts w:eastAsia="宋体"/>
                <w:snapToGrid w:val="0"/>
                <w:color w:val="000000" w:themeColor="text1"/>
                <w:kern w:val="0"/>
                <w:szCs w:val="21"/>
                <w14:textFill>
                  <w14:solidFill>
                    <w14:schemeClr w14:val="tx1"/>
                  </w14:solidFill>
                </w14:textFill>
              </w:rPr>
            </w:pPr>
          </w:p>
        </w:tc>
        <w:tc>
          <w:tcPr>
            <w:tcW w:w="1786" w:type="dxa"/>
          </w:tcPr>
          <w:p w14:paraId="227A2EA5">
            <w:pPr>
              <w:widowControl/>
              <w:kinsoku w:val="0"/>
              <w:autoSpaceDE w:val="0"/>
              <w:autoSpaceDN w:val="0"/>
              <w:adjustRightInd w:val="0"/>
              <w:snapToGrid w:val="0"/>
              <w:spacing w:before="54" w:line="195" w:lineRule="auto"/>
              <w:ind w:left="74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M1</w:t>
            </w:r>
          </w:p>
        </w:tc>
        <w:tc>
          <w:tcPr>
            <w:tcW w:w="1786" w:type="dxa"/>
          </w:tcPr>
          <w:p w14:paraId="4650DC06">
            <w:pPr>
              <w:widowControl/>
              <w:kinsoku w:val="0"/>
              <w:autoSpaceDE w:val="0"/>
              <w:autoSpaceDN w:val="0"/>
              <w:adjustRightInd w:val="0"/>
              <w:snapToGrid w:val="0"/>
              <w:spacing w:before="54" w:line="195" w:lineRule="auto"/>
              <w:ind w:left="748"/>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M2</w:t>
            </w:r>
          </w:p>
        </w:tc>
        <w:tc>
          <w:tcPr>
            <w:tcW w:w="1786" w:type="dxa"/>
          </w:tcPr>
          <w:p w14:paraId="1D99B3CA">
            <w:pPr>
              <w:widowControl/>
              <w:kinsoku w:val="0"/>
              <w:autoSpaceDE w:val="0"/>
              <w:autoSpaceDN w:val="0"/>
              <w:adjustRightInd w:val="0"/>
              <w:snapToGrid w:val="0"/>
              <w:spacing w:before="54" w:line="195" w:lineRule="auto"/>
              <w:ind w:left="75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M3</w:t>
            </w:r>
          </w:p>
        </w:tc>
        <w:tc>
          <w:tcPr>
            <w:tcW w:w="1655" w:type="dxa"/>
          </w:tcPr>
          <w:p w14:paraId="1F0C6428">
            <w:pPr>
              <w:widowControl/>
              <w:kinsoku w:val="0"/>
              <w:autoSpaceDE w:val="0"/>
              <w:autoSpaceDN w:val="0"/>
              <w:adjustRightInd w:val="0"/>
              <w:snapToGrid w:val="0"/>
              <w:spacing w:before="54" w:line="195" w:lineRule="auto"/>
              <w:ind w:left="68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M4</w:t>
            </w:r>
          </w:p>
        </w:tc>
      </w:tr>
      <w:tr w14:paraId="66650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2051" w:type="dxa"/>
          </w:tcPr>
          <w:p w14:paraId="60BC08AB">
            <w:pPr>
              <w:widowControl/>
              <w:kinsoku w:val="0"/>
              <w:autoSpaceDE w:val="0"/>
              <w:autoSpaceDN w:val="0"/>
              <w:adjustRightInd w:val="0"/>
              <w:snapToGrid w:val="0"/>
              <w:spacing w:before="53" w:line="189" w:lineRule="auto"/>
              <w:ind w:left="739"/>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4"/>
                <w:kern w:val="0"/>
                <w:sz w:val="20"/>
                <w:szCs w:val="20"/>
                <w:lang w:eastAsia="en-US"/>
                <w14:textFill>
                  <w14:solidFill>
                    <w14:schemeClr w14:val="tx1"/>
                  </w14:solidFill>
                </w14:textFill>
              </w:rPr>
              <w:t>Q≥100</w:t>
            </w:r>
          </w:p>
        </w:tc>
        <w:tc>
          <w:tcPr>
            <w:tcW w:w="1786" w:type="dxa"/>
          </w:tcPr>
          <w:p w14:paraId="4992BBDF">
            <w:pPr>
              <w:widowControl/>
              <w:kinsoku w:val="0"/>
              <w:autoSpaceDE w:val="0"/>
              <w:autoSpaceDN w:val="0"/>
              <w:adjustRightInd w:val="0"/>
              <w:snapToGrid w:val="0"/>
              <w:spacing w:before="53" w:line="189" w:lineRule="auto"/>
              <w:ind w:left="78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P1</w:t>
            </w:r>
          </w:p>
        </w:tc>
        <w:tc>
          <w:tcPr>
            <w:tcW w:w="1786" w:type="dxa"/>
          </w:tcPr>
          <w:p w14:paraId="4BBA988A">
            <w:pPr>
              <w:widowControl/>
              <w:kinsoku w:val="0"/>
              <w:autoSpaceDE w:val="0"/>
              <w:autoSpaceDN w:val="0"/>
              <w:adjustRightInd w:val="0"/>
              <w:snapToGrid w:val="0"/>
              <w:spacing w:before="53" w:line="189" w:lineRule="auto"/>
              <w:ind w:left="784"/>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P1</w:t>
            </w:r>
          </w:p>
        </w:tc>
        <w:tc>
          <w:tcPr>
            <w:tcW w:w="1786" w:type="dxa"/>
          </w:tcPr>
          <w:p w14:paraId="5E49BF01">
            <w:pPr>
              <w:widowControl/>
              <w:kinsoku w:val="0"/>
              <w:autoSpaceDE w:val="0"/>
              <w:autoSpaceDN w:val="0"/>
              <w:adjustRightInd w:val="0"/>
              <w:snapToGrid w:val="0"/>
              <w:spacing w:before="53" w:line="189" w:lineRule="auto"/>
              <w:ind w:left="78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P2</w:t>
            </w:r>
          </w:p>
        </w:tc>
        <w:tc>
          <w:tcPr>
            <w:tcW w:w="1655" w:type="dxa"/>
          </w:tcPr>
          <w:p w14:paraId="7BD2EB6C">
            <w:pPr>
              <w:widowControl/>
              <w:kinsoku w:val="0"/>
              <w:autoSpaceDE w:val="0"/>
              <w:autoSpaceDN w:val="0"/>
              <w:adjustRightInd w:val="0"/>
              <w:snapToGrid w:val="0"/>
              <w:spacing w:before="53" w:line="189" w:lineRule="auto"/>
              <w:ind w:left="71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P3</w:t>
            </w:r>
          </w:p>
        </w:tc>
      </w:tr>
      <w:tr w14:paraId="79440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51" w:type="dxa"/>
          </w:tcPr>
          <w:p w14:paraId="366F8D85">
            <w:pPr>
              <w:kinsoku w:val="0"/>
              <w:autoSpaceDE w:val="0"/>
              <w:autoSpaceDN w:val="0"/>
              <w:adjustRightInd w:val="0"/>
              <w:snapToGrid w:val="0"/>
              <w:spacing w:before="34" w:line="215" w:lineRule="auto"/>
              <w:ind w:left="547"/>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10≤Q＜100</w:t>
            </w:r>
          </w:p>
        </w:tc>
        <w:tc>
          <w:tcPr>
            <w:tcW w:w="1786" w:type="dxa"/>
          </w:tcPr>
          <w:p w14:paraId="34E04B99">
            <w:pPr>
              <w:widowControl/>
              <w:kinsoku w:val="0"/>
              <w:autoSpaceDE w:val="0"/>
              <w:autoSpaceDN w:val="0"/>
              <w:adjustRightInd w:val="0"/>
              <w:snapToGrid w:val="0"/>
              <w:spacing w:before="55" w:line="195" w:lineRule="auto"/>
              <w:ind w:left="78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P1</w:t>
            </w:r>
          </w:p>
        </w:tc>
        <w:tc>
          <w:tcPr>
            <w:tcW w:w="1786" w:type="dxa"/>
          </w:tcPr>
          <w:p w14:paraId="17FC56F8">
            <w:pPr>
              <w:widowControl/>
              <w:kinsoku w:val="0"/>
              <w:autoSpaceDE w:val="0"/>
              <w:autoSpaceDN w:val="0"/>
              <w:adjustRightInd w:val="0"/>
              <w:snapToGrid w:val="0"/>
              <w:spacing w:before="55" w:line="195" w:lineRule="auto"/>
              <w:ind w:left="784"/>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P2</w:t>
            </w:r>
          </w:p>
        </w:tc>
        <w:tc>
          <w:tcPr>
            <w:tcW w:w="1786" w:type="dxa"/>
          </w:tcPr>
          <w:p w14:paraId="6F271A89">
            <w:pPr>
              <w:widowControl/>
              <w:kinsoku w:val="0"/>
              <w:autoSpaceDE w:val="0"/>
              <w:autoSpaceDN w:val="0"/>
              <w:adjustRightInd w:val="0"/>
              <w:snapToGrid w:val="0"/>
              <w:spacing w:before="55" w:line="195" w:lineRule="auto"/>
              <w:ind w:left="78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P3</w:t>
            </w:r>
          </w:p>
        </w:tc>
        <w:tc>
          <w:tcPr>
            <w:tcW w:w="1655" w:type="dxa"/>
          </w:tcPr>
          <w:p w14:paraId="42B5FE23">
            <w:pPr>
              <w:widowControl/>
              <w:kinsoku w:val="0"/>
              <w:autoSpaceDE w:val="0"/>
              <w:autoSpaceDN w:val="0"/>
              <w:adjustRightInd w:val="0"/>
              <w:snapToGrid w:val="0"/>
              <w:spacing w:before="55" w:line="195" w:lineRule="auto"/>
              <w:ind w:left="71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P4</w:t>
            </w:r>
          </w:p>
        </w:tc>
      </w:tr>
      <w:tr w14:paraId="6C72E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2051" w:type="dxa"/>
          </w:tcPr>
          <w:p w14:paraId="080C94E2">
            <w:pPr>
              <w:kinsoku w:val="0"/>
              <w:autoSpaceDE w:val="0"/>
              <w:autoSpaceDN w:val="0"/>
              <w:adjustRightInd w:val="0"/>
              <w:snapToGrid w:val="0"/>
              <w:spacing w:before="34" w:line="217" w:lineRule="auto"/>
              <w:ind w:left="65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1≤Q＜10</w:t>
            </w:r>
          </w:p>
        </w:tc>
        <w:tc>
          <w:tcPr>
            <w:tcW w:w="1786" w:type="dxa"/>
          </w:tcPr>
          <w:p w14:paraId="5421AD0B">
            <w:pPr>
              <w:widowControl/>
              <w:kinsoku w:val="0"/>
              <w:autoSpaceDE w:val="0"/>
              <w:autoSpaceDN w:val="0"/>
              <w:adjustRightInd w:val="0"/>
              <w:snapToGrid w:val="0"/>
              <w:spacing w:before="54" w:line="195" w:lineRule="auto"/>
              <w:ind w:left="78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P2</w:t>
            </w:r>
          </w:p>
        </w:tc>
        <w:tc>
          <w:tcPr>
            <w:tcW w:w="1786" w:type="dxa"/>
          </w:tcPr>
          <w:p w14:paraId="6DEE8D01">
            <w:pPr>
              <w:widowControl/>
              <w:kinsoku w:val="0"/>
              <w:autoSpaceDE w:val="0"/>
              <w:autoSpaceDN w:val="0"/>
              <w:adjustRightInd w:val="0"/>
              <w:snapToGrid w:val="0"/>
              <w:spacing w:before="54" w:line="195" w:lineRule="auto"/>
              <w:ind w:left="784"/>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P3</w:t>
            </w:r>
          </w:p>
        </w:tc>
        <w:tc>
          <w:tcPr>
            <w:tcW w:w="1786" w:type="dxa"/>
          </w:tcPr>
          <w:p w14:paraId="167EB5E1">
            <w:pPr>
              <w:widowControl/>
              <w:kinsoku w:val="0"/>
              <w:autoSpaceDE w:val="0"/>
              <w:autoSpaceDN w:val="0"/>
              <w:adjustRightInd w:val="0"/>
              <w:snapToGrid w:val="0"/>
              <w:spacing w:before="54" w:line="195" w:lineRule="auto"/>
              <w:ind w:left="78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P4</w:t>
            </w:r>
          </w:p>
        </w:tc>
        <w:tc>
          <w:tcPr>
            <w:tcW w:w="1655" w:type="dxa"/>
          </w:tcPr>
          <w:p w14:paraId="1A7C9EF1">
            <w:pPr>
              <w:widowControl/>
              <w:kinsoku w:val="0"/>
              <w:autoSpaceDE w:val="0"/>
              <w:autoSpaceDN w:val="0"/>
              <w:adjustRightInd w:val="0"/>
              <w:snapToGrid w:val="0"/>
              <w:spacing w:before="54" w:line="195" w:lineRule="auto"/>
              <w:ind w:left="71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P4</w:t>
            </w:r>
          </w:p>
        </w:tc>
      </w:tr>
    </w:tbl>
    <w:p w14:paraId="53A3B2ED">
      <w:pPr>
        <w:pStyle w:val="147"/>
        <w:ind w:firstLine="474"/>
        <w:rPr>
          <w:color w:val="000000" w:themeColor="text1"/>
          <w:lang w:eastAsia="en-US"/>
          <w14:textFill>
            <w14:solidFill>
              <w14:schemeClr w14:val="tx1"/>
            </w14:solidFill>
          </w14:textFill>
        </w:rPr>
      </w:pPr>
      <w:r>
        <w:rPr>
          <w:b/>
          <w:bCs/>
          <w:color w:val="000000" w:themeColor="text1"/>
          <w:spacing w:val="-2"/>
          <w:lang w:eastAsia="en-US"/>
          <w14:textFill>
            <w14:solidFill>
              <w14:schemeClr w14:val="tx1"/>
            </w14:solidFill>
          </w14:textFill>
        </w:rPr>
        <w:t>6.2.1建设项目</w:t>
      </w:r>
      <w:r>
        <w:rPr>
          <w:b/>
          <w:bCs/>
          <w:i/>
          <w:iCs/>
          <w:color w:val="000000" w:themeColor="text1"/>
          <w:spacing w:val="-2"/>
          <w:lang w:eastAsia="en-US"/>
          <w14:textFill>
            <w14:solidFill>
              <w14:schemeClr w14:val="tx1"/>
            </w14:solidFill>
          </w14:textFill>
        </w:rPr>
        <w:t>Q</w:t>
      </w:r>
      <w:r>
        <w:rPr>
          <w:b/>
          <w:bCs/>
          <w:color w:val="000000" w:themeColor="text1"/>
          <w:spacing w:val="-2"/>
          <w:lang w:eastAsia="en-US"/>
          <w14:textFill>
            <w14:solidFill>
              <w14:schemeClr w14:val="tx1"/>
            </w14:solidFill>
          </w14:textFill>
        </w:rPr>
        <w:t>值的确定</w:t>
      </w:r>
    </w:p>
    <w:p w14:paraId="1274A01D">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计算所涉及的每种危险物质在厂界内的最大存在总量与其在HJ169-2018附录B</w:t>
      </w:r>
      <w:r>
        <w:rPr>
          <w:rFonts w:cs="Times New Roman"/>
          <w:color w:val="000000" w:themeColor="text1"/>
          <w:spacing w:val="-1"/>
          <w:kern w:val="0"/>
          <w:szCs w:val="24"/>
          <w14:textFill>
            <w14:solidFill>
              <w14:schemeClr w14:val="tx1"/>
            </w14:solidFill>
          </w14:textFill>
        </w:rPr>
        <w:t>中对应临界量的比值Q。在不同厂区的同一种物质，</w:t>
      </w:r>
      <w:r>
        <w:rPr>
          <w:rFonts w:cs="Times New Roman"/>
          <w:color w:val="000000" w:themeColor="text1"/>
          <w:spacing w:val="-2"/>
          <w:kern w:val="0"/>
          <w:szCs w:val="24"/>
          <w14:textFill>
            <w14:solidFill>
              <w14:schemeClr w14:val="tx1"/>
            </w14:solidFill>
          </w14:textFill>
        </w:rPr>
        <w:t>按其在厂界内的最大存在总量计</w:t>
      </w:r>
      <w:r>
        <w:rPr>
          <w:rFonts w:cs="Times New Roman"/>
          <w:color w:val="000000" w:themeColor="text1"/>
          <w:kern w:val="0"/>
          <w:szCs w:val="24"/>
          <w14:textFill>
            <w14:solidFill>
              <w14:schemeClr w14:val="tx1"/>
            </w14:solidFill>
          </w14:textFill>
        </w:rPr>
        <w:t>算。对于长输管线项目，按照两个截断阀室之间管段</w:t>
      </w:r>
      <w:r>
        <w:rPr>
          <w:rFonts w:cs="Times New Roman"/>
          <w:color w:val="000000" w:themeColor="text1"/>
          <w:spacing w:val="-1"/>
          <w:kern w:val="0"/>
          <w:szCs w:val="24"/>
          <w14:textFill>
            <w14:solidFill>
              <w14:schemeClr w14:val="tx1"/>
            </w14:solidFill>
          </w14:textFill>
        </w:rPr>
        <w:t>危险物质最大存在总量计算。</w:t>
      </w:r>
    </w:p>
    <w:p w14:paraId="6D4C4ADD">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当只涉及一种危险物质时，计算该物质的总量与其临界量比值，即为</w:t>
      </w:r>
      <w:r>
        <w:rPr>
          <w:rFonts w:cs="Times New Roman"/>
          <w:color w:val="000000" w:themeColor="text1"/>
          <w:spacing w:val="-2"/>
          <w:kern w:val="0"/>
          <w:szCs w:val="24"/>
          <w14:textFill>
            <w14:solidFill>
              <w14:schemeClr w14:val="tx1"/>
            </w14:solidFill>
          </w14:textFill>
        </w:rPr>
        <w:t>Q；</w:t>
      </w:r>
    </w:p>
    <w:p w14:paraId="39C18BEC">
      <w:pPr>
        <w:pStyle w:val="186"/>
        <w:ind w:firstLine="472"/>
        <w:rPr>
          <w:rFonts w:cs="Times New Roman"/>
          <w:color w:val="000000" w:themeColor="text1"/>
          <w:kern w:val="0"/>
          <w:sz w:val="21"/>
          <w:szCs w:val="21"/>
          <w14:textFill>
            <w14:solidFill>
              <w14:schemeClr w14:val="tx1"/>
            </w14:solidFill>
          </w14:textFill>
        </w:rPr>
      </w:pPr>
      <w:r>
        <w:rPr>
          <w:rFonts w:cs="Times New Roman"/>
          <w:color w:val="000000" w:themeColor="text1"/>
          <w:spacing w:val="-2"/>
          <w:kern w:val="0"/>
          <w:szCs w:val="24"/>
          <w14:textFill>
            <w14:solidFill>
              <w14:schemeClr w14:val="tx1"/>
            </w14:solidFill>
          </w14:textFill>
        </w:rPr>
        <w:t>当存在多种危险物质时，则按式（C.1）计算物质总量与其临界量比值（Q)：</w:t>
      </w:r>
    </w:p>
    <w:p w14:paraId="5372364E">
      <w:pPr>
        <w:pStyle w:val="186"/>
        <w:ind w:firstLine="480"/>
        <w:rPr>
          <w:rFonts w:cs="Times New Roman"/>
          <w:color w:val="000000" w:themeColor="text1"/>
          <w:kern w:val="0"/>
          <w:szCs w:val="21"/>
          <w:lang w:eastAsia="en-US"/>
          <w14:textFill>
            <w14:solidFill>
              <w14:schemeClr w14:val="tx1"/>
            </w14:solidFill>
          </w14:textFill>
        </w:rPr>
      </w:pPr>
      <w:r>
        <w:rPr>
          <w:rFonts w:cs="Times New Roman"/>
          <w:bCs/>
          <w:color w:val="000000" w:themeColor="text1"/>
          <w:szCs w:val="21"/>
          <w14:textFill>
            <w14:solidFill>
              <w14:schemeClr w14:val="tx1"/>
            </w14:solidFill>
          </w14:textFill>
        </w:rPr>
        <w:t>Q=q</w:t>
      </w:r>
      <w:r>
        <w:rPr>
          <w:rFonts w:cs="Times New Roman"/>
          <w:bCs/>
          <w:color w:val="000000" w:themeColor="text1"/>
          <w:szCs w:val="21"/>
          <w:vertAlign w:val="subscript"/>
          <w14:textFill>
            <w14:solidFill>
              <w14:schemeClr w14:val="tx1"/>
            </w14:solidFill>
          </w14:textFill>
        </w:rPr>
        <w:t>1</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1</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2</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2</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3</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3</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n</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n</w:t>
      </w:r>
    </w:p>
    <w:p w14:paraId="53B95FC4">
      <w:pPr>
        <w:pStyle w:val="186"/>
        <w:ind w:firstLine="480"/>
        <w:rPr>
          <w:rFonts w:cs="Times New Roman"/>
          <w:bCs/>
          <w:color w:val="000000" w:themeColor="text1"/>
          <w:szCs w:val="21"/>
          <w14:textFill>
            <w14:solidFill>
              <w14:schemeClr w14:val="tx1"/>
            </w14:solidFill>
          </w14:textFill>
        </w:rPr>
      </w:pPr>
      <w:r>
        <w:rPr>
          <w:rFonts w:cs="Times New Roman"/>
          <w:bCs/>
          <w:color w:val="000000" w:themeColor="text1"/>
          <w:szCs w:val="21"/>
          <w14:textFill>
            <w14:solidFill>
              <w14:schemeClr w14:val="tx1"/>
            </w14:solidFill>
          </w14:textFill>
        </w:rPr>
        <w:t>式中：q</w:t>
      </w:r>
      <w:r>
        <w:rPr>
          <w:rFonts w:cs="Times New Roman"/>
          <w:bCs/>
          <w:color w:val="000000" w:themeColor="text1"/>
          <w:szCs w:val="21"/>
          <w:vertAlign w:val="subscript"/>
          <w14:textFill>
            <w14:solidFill>
              <w14:schemeClr w14:val="tx1"/>
            </w14:solidFill>
          </w14:textFill>
        </w:rPr>
        <w:t>1</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2</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n</w:t>
      </w:r>
      <w:r>
        <w:rPr>
          <w:rFonts w:cs="Times New Roman"/>
          <w:bCs/>
          <w:color w:val="000000" w:themeColor="text1"/>
          <w:szCs w:val="21"/>
          <w14:textFill>
            <w14:solidFill>
              <w14:schemeClr w14:val="tx1"/>
            </w14:solidFill>
          </w14:textFill>
        </w:rPr>
        <w:t>-每种危险物质的最大存在总量，t；</w:t>
      </w:r>
    </w:p>
    <w:p w14:paraId="5AE6DAE5">
      <w:pPr>
        <w:pStyle w:val="186"/>
        <w:ind w:firstLine="480"/>
        <w:rPr>
          <w:rFonts w:cs="Times New Roman"/>
          <w:bCs/>
          <w:color w:val="000000" w:themeColor="text1"/>
          <w:szCs w:val="21"/>
          <w14:textFill>
            <w14:solidFill>
              <w14:schemeClr w14:val="tx1"/>
            </w14:solidFill>
          </w14:textFill>
        </w:rPr>
      </w:pP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1</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2</w:t>
      </w:r>
      <w:r>
        <w:rPr>
          <w:rFonts w:cs="Times New Roman"/>
          <w:bCs/>
          <w:color w:val="000000" w:themeColor="text1"/>
          <w:szCs w:val="21"/>
          <w14:textFill>
            <w14:solidFill>
              <w14:schemeClr w14:val="tx1"/>
            </w14:solidFill>
          </w14:textFill>
        </w:rPr>
        <w:t>，……Q</w:t>
      </w:r>
      <w:r>
        <w:rPr>
          <w:rFonts w:cs="Times New Roman"/>
          <w:bCs/>
          <w:color w:val="000000" w:themeColor="text1"/>
          <w:szCs w:val="21"/>
          <w:vertAlign w:val="subscript"/>
          <w14:textFill>
            <w14:solidFill>
              <w14:schemeClr w14:val="tx1"/>
            </w14:solidFill>
          </w14:textFill>
        </w:rPr>
        <w:t>n</w:t>
      </w:r>
      <w:r>
        <w:rPr>
          <w:rFonts w:cs="Times New Roman"/>
          <w:bCs/>
          <w:color w:val="000000" w:themeColor="text1"/>
          <w:szCs w:val="21"/>
          <w14:textFill>
            <w14:solidFill>
              <w14:schemeClr w14:val="tx1"/>
            </w14:solidFill>
          </w14:textFill>
        </w:rPr>
        <w:t>-每种危险物质的临界量，t。</w:t>
      </w:r>
    </w:p>
    <w:p w14:paraId="5DC2D04A">
      <w:pPr>
        <w:pStyle w:val="186"/>
        <w:ind w:firstLine="480"/>
        <w:rPr>
          <w:rFonts w:cs="Times New Roman"/>
          <w:bCs/>
          <w:color w:val="000000" w:themeColor="text1"/>
          <w:szCs w:val="21"/>
          <w14:textFill>
            <w14:solidFill>
              <w14:schemeClr w14:val="tx1"/>
            </w14:solidFill>
          </w14:textFill>
        </w:rPr>
      </w:pPr>
      <w:r>
        <w:rPr>
          <w:rFonts w:cs="Times New Roman"/>
          <w:bCs/>
          <w:color w:val="000000" w:themeColor="text1"/>
          <w:szCs w:val="21"/>
          <w14:textFill>
            <w14:solidFill>
              <w14:schemeClr w14:val="tx1"/>
            </w14:solidFill>
          </w14:textFill>
        </w:rPr>
        <w:t>当Q&lt;1时，该项目风险潜势为Ⅰ；</w:t>
      </w:r>
    </w:p>
    <w:p w14:paraId="32F12CA7">
      <w:pPr>
        <w:pStyle w:val="186"/>
        <w:ind w:firstLine="480"/>
        <w:rPr>
          <w:rFonts w:cs="Times New Roman"/>
          <w:bCs/>
          <w:color w:val="000000" w:themeColor="text1"/>
          <w:szCs w:val="21"/>
          <w14:textFill>
            <w14:solidFill>
              <w14:schemeClr w14:val="tx1"/>
            </w14:solidFill>
          </w14:textFill>
        </w:rPr>
      </w:pPr>
      <w:r>
        <w:rPr>
          <w:rFonts w:cs="Times New Roman"/>
          <w:bCs/>
          <w:color w:val="000000" w:themeColor="text1"/>
          <w:szCs w:val="21"/>
          <w14:textFill>
            <w14:solidFill>
              <w14:schemeClr w14:val="tx1"/>
            </w14:solidFill>
          </w14:textFill>
        </w:rPr>
        <w:t>当Q≥1时，将Q值划分为：1≤Q&lt;10；10≤Q&lt;100；Q≥100；</w:t>
      </w:r>
    </w:p>
    <w:p w14:paraId="6E1C7E83">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根据《建设项目环境风险评价技术导则》（HJ169-2018）附录B表B1“突发环</w:t>
      </w:r>
      <w:r>
        <w:rPr>
          <w:rFonts w:cs="Times New Roman"/>
          <w:color w:val="000000" w:themeColor="text1"/>
          <w:spacing w:val="-2"/>
          <w:kern w:val="0"/>
          <w:szCs w:val="24"/>
          <w14:textFill>
            <w14:solidFill>
              <w14:schemeClr w14:val="tx1"/>
            </w14:solidFill>
          </w14:textFill>
        </w:rPr>
        <w:t>境事件风险物质及其临界量”来判断，建设项目判断结果见下表。</w:t>
      </w:r>
    </w:p>
    <w:p w14:paraId="705A4003">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本项目涉及危险物质的临界量</w:t>
      </w:r>
    </w:p>
    <w:tbl>
      <w:tblPr>
        <w:tblStyle w:val="171"/>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6"/>
        <w:gridCol w:w="1552"/>
        <w:gridCol w:w="1144"/>
        <w:gridCol w:w="1243"/>
        <w:gridCol w:w="1294"/>
        <w:gridCol w:w="2287"/>
      </w:tblGrid>
      <w:tr w14:paraId="463C0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006" w:type="dxa"/>
          </w:tcPr>
          <w:p w14:paraId="7DB4EED3">
            <w:pPr>
              <w:kinsoku w:val="0"/>
              <w:autoSpaceDE w:val="0"/>
              <w:autoSpaceDN w:val="0"/>
              <w:adjustRightInd w:val="0"/>
              <w:snapToGrid w:val="0"/>
              <w:spacing w:before="171" w:line="230" w:lineRule="auto"/>
              <w:ind w:left="301"/>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名称</w:t>
            </w:r>
          </w:p>
        </w:tc>
        <w:tc>
          <w:tcPr>
            <w:tcW w:w="1552" w:type="dxa"/>
          </w:tcPr>
          <w:p w14:paraId="194C3F27">
            <w:pPr>
              <w:kinsoku w:val="0"/>
              <w:autoSpaceDE w:val="0"/>
              <w:autoSpaceDN w:val="0"/>
              <w:adjustRightInd w:val="0"/>
              <w:snapToGrid w:val="0"/>
              <w:spacing w:before="171" w:line="228" w:lineRule="auto"/>
              <w:ind w:left="569"/>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4"/>
                <w:kern w:val="0"/>
                <w:sz w:val="20"/>
                <w:szCs w:val="20"/>
                <w:lang w:eastAsia="en-US"/>
                <w14:textFill>
                  <w14:solidFill>
                    <w14:schemeClr w14:val="tx1"/>
                  </w14:solidFill>
                </w14:textFill>
              </w:rPr>
              <w:t>状态</w:t>
            </w:r>
          </w:p>
        </w:tc>
        <w:tc>
          <w:tcPr>
            <w:tcW w:w="1144" w:type="dxa"/>
          </w:tcPr>
          <w:p w14:paraId="4154F403">
            <w:pPr>
              <w:kinsoku w:val="0"/>
              <w:autoSpaceDE w:val="0"/>
              <w:autoSpaceDN w:val="0"/>
              <w:adjustRightInd w:val="0"/>
              <w:snapToGrid w:val="0"/>
              <w:spacing w:before="171" w:line="229" w:lineRule="auto"/>
              <w:ind w:left="24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CAS</w:t>
            </w:r>
            <w:r>
              <w:rPr>
                <w:rFonts w:eastAsia="宋体"/>
                <w:snapToGrid w:val="0"/>
                <w:color w:val="000000" w:themeColor="text1"/>
                <w:spacing w:val="9"/>
                <w:kern w:val="0"/>
                <w:sz w:val="20"/>
                <w:szCs w:val="20"/>
                <w:lang w:eastAsia="en-US"/>
                <w14:textFill>
                  <w14:solidFill>
                    <w14:schemeClr w14:val="tx1"/>
                  </w14:solidFill>
                </w14:textFill>
              </w:rPr>
              <w:t>号</w:t>
            </w:r>
          </w:p>
        </w:tc>
        <w:tc>
          <w:tcPr>
            <w:tcW w:w="1243" w:type="dxa"/>
          </w:tcPr>
          <w:p w14:paraId="1E2439CB">
            <w:pPr>
              <w:kinsoku w:val="0"/>
              <w:autoSpaceDE w:val="0"/>
              <w:autoSpaceDN w:val="0"/>
              <w:adjustRightInd w:val="0"/>
              <w:snapToGrid w:val="0"/>
              <w:spacing w:before="171" w:line="228" w:lineRule="auto"/>
              <w:ind w:left="12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临界量（t）</w:t>
            </w:r>
          </w:p>
        </w:tc>
        <w:tc>
          <w:tcPr>
            <w:tcW w:w="1294" w:type="dxa"/>
          </w:tcPr>
          <w:p w14:paraId="6A8CB851">
            <w:pPr>
              <w:kinsoku w:val="0"/>
              <w:autoSpaceDE w:val="0"/>
              <w:autoSpaceDN w:val="0"/>
              <w:adjustRightInd w:val="0"/>
              <w:snapToGrid w:val="0"/>
              <w:spacing w:before="37" w:line="228" w:lineRule="auto"/>
              <w:ind w:left="23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最大储量</w:t>
            </w:r>
          </w:p>
          <w:p w14:paraId="4E73BFC2">
            <w:pPr>
              <w:kinsoku w:val="0"/>
              <w:autoSpaceDE w:val="0"/>
              <w:autoSpaceDN w:val="0"/>
              <w:adjustRightInd w:val="0"/>
              <w:snapToGrid w:val="0"/>
              <w:spacing w:before="24" w:line="216" w:lineRule="auto"/>
              <w:ind w:left="42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（t）</w:t>
            </w:r>
          </w:p>
        </w:tc>
        <w:tc>
          <w:tcPr>
            <w:tcW w:w="2287" w:type="dxa"/>
          </w:tcPr>
          <w:p w14:paraId="06A8865A">
            <w:pPr>
              <w:widowControl/>
              <w:kinsoku w:val="0"/>
              <w:autoSpaceDE w:val="0"/>
              <w:autoSpaceDN w:val="0"/>
              <w:adjustRightInd w:val="0"/>
              <w:snapToGrid w:val="0"/>
              <w:spacing w:before="207" w:line="197" w:lineRule="auto"/>
              <w:ind w:left="1071"/>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Q</w:t>
            </w:r>
          </w:p>
        </w:tc>
      </w:tr>
      <w:tr w14:paraId="3A7A3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06" w:type="dxa"/>
          </w:tcPr>
          <w:p w14:paraId="5FE246F1">
            <w:pPr>
              <w:kinsoku w:val="0"/>
              <w:autoSpaceDE w:val="0"/>
              <w:autoSpaceDN w:val="0"/>
              <w:adjustRightInd w:val="0"/>
              <w:snapToGrid w:val="0"/>
              <w:spacing w:before="31" w:line="216" w:lineRule="auto"/>
              <w:ind w:left="19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硫酸铵</w:t>
            </w:r>
          </w:p>
        </w:tc>
        <w:tc>
          <w:tcPr>
            <w:tcW w:w="1552" w:type="dxa"/>
          </w:tcPr>
          <w:p w14:paraId="6606EFBD">
            <w:pPr>
              <w:kinsoku w:val="0"/>
              <w:autoSpaceDE w:val="0"/>
              <w:autoSpaceDN w:val="0"/>
              <w:adjustRightInd w:val="0"/>
              <w:snapToGrid w:val="0"/>
              <w:spacing w:before="31" w:line="216" w:lineRule="auto"/>
              <w:ind w:left="587"/>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5"/>
                <w:kern w:val="0"/>
                <w:sz w:val="20"/>
                <w:szCs w:val="20"/>
                <w:lang w:eastAsia="en-US"/>
                <w14:textFill>
                  <w14:solidFill>
                    <w14:schemeClr w14:val="tx1"/>
                  </w14:solidFill>
                </w14:textFill>
              </w:rPr>
              <w:t>固体</w:t>
            </w:r>
          </w:p>
        </w:tc>
        <w:tc>
          <w:tcPr>
            <w:tcW w:w="1144" w:type="dxa"/>
          </w:tcPr>
          <w:p w14:paraId="70482E78">
            <w:pPr>
              <w:widowControl/>
              <w:kinsoku w:val="0"/>
              <w:autoSpaceDE w:val="0"/>
              <w:autoSpaceDN w:val="0"/>
              <w:adjustRightInd w:val="0"/>
              <w:snapToGrid w:val="0"/>
              <w:spacing w:before="67" w:line="195" w:lineRule="auto"/>
              <w:ind w:left="14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7783-20-2</w:t>
            </w:r>
          </w:p>
        </w:tc>
        <w:tc>
          <w:tcPr>
            <w:tcW w:w="1243" w:type="dxa"/>
          </w:tcPr>
          <w:p w14:paraId="741D0794">
            <w:pPr>
              <w:widowControl/>
              <w:kinsoku w:val="0"/>
              <w:autoSpaceDE w:val="0"/>
              <w:autoSpaceDN w:val="0"/>
              <w:adjustRightInd w:val="0"/>
              <w:snapToGrid w:val="0"/>
              <w:spacing w:before="67" w:line="195" w:lineRule="auto"/>
              <w:ind w:left="539"/>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8"/>
                <w:kern w:val="0"/>
                <w:sz w:val="20"/>
                <w:szCs w:val="20"/>
                <w:lang w:eastAsia="en-US"/>
                <w14:textFill>
                  <w14:solidFill>
                    <w14:schemeClr w14:val="tx1"/>
                  </w14:solidFill>
                </w14:textFill>
              </w:rPr>
              <w:t>10</w:t>
            </w:r>
          </w:p>
        </w:tc>
        <w:tc>
          <w:tcPr>
            <w:tcW w:w="1294" w:type="dxa"/>
          </w:tcPr>
          <w:p w14:paraId="297FA863">
            <w:pPr>
              <w:widowControl/>
              <w:kinsoku w:val="0"/>
              <w:autoSpaceDE w:val="0"/>
              <w:autoSpaceDN w:val="0"/>
              <w:adjustRightInd w:val="0"/>
              <w:snapToGrid w:val="0"/>
              <w:spacing w:before="67" w:line="195" w:lineRule="auto"/>
              <w:ind w:left="365"/>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3"/>
                <w:kern w:val="0"/>
                <w:sz w:val="20"/>
                <w:szCs w:val="20"/>
                <w14:textFill>
                  <w14:solidFill>
                    <w14:schemeClr w14:val="tx1"/>
                  </w14:solidFill>
                </w14:textFill>
              </w:rPr>
              <w:t>84</w:t>
            </w:r>
          </w:p>
        </w:tc>
        <w:tc>
          <w:tcPr>
            <w:tcW w:w="2287" w:type="dxa"/>
          </w:tcPr>
          <w:p w14:paraId="0499229E">
            <w:pPr>
              <w:widowControl/>
              <w:kinsoku w:val="0"/>
              <w:autoSpaceDE w:val="0"/>
              <w:autoSpaceDN w:val="0"/>
              <w:adjustRightInd w:val="0"/>
              <w:snapToGrid w:val="0"/>
              <w:spacing w:before="67" w:line="195" w:lineRule="auto"/>
              <w:ind w:left="914"/>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2"/>
                <w:kern w:val="0"/>
                <w:sz w:val="20"/>
                <w:szCs w:val="20"/>
                <w14:textFill>
                  <w14:solidFill>
                    <w14:schemeClr w14:val="tx1"/>
                  </w14:solidFill>
                </w14:textFill>
              </w:rPr>
              <w:t>8.4</w:t>
            </w:r>
          </w:p>
        </w:tc>
      </w:tr>
    </w:tbl>
    <w:p w14:paraId="609DDEB0">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position w:val="2"/>
          <w:szCs w:val="24"/>
          <w14:textFill>
            <w14:solidFill>
              <w14:schemeClr w14:val="tx1"/>
            </w14:solidFill>
          </w14:textFill>
        </w:rPr>
        <w:t>由上表判断可知，本项目危险物质数量与临界量比值Q=8.4，1≤Q≤10。</w:t>
      </w:r>
    </w:p>
    <w:p w14:paraId="2B304377">
      <w:pPr>
        <w:adjustRightInd w:val="0"/>
        <w:snapToGrid w:val="0"/>
        <w:spacing w:line="360" w:lineRule="auto"/>
        <w:ind w:firstLine="474" w:firstLineChars="200"/>
        <w:rPr>
          <w:rFonts w:eastAsia="宋体"/>
          <w:snapToGrid w:val="0"/>
          <w:color w:val="000000" w:themeColor="text1"/>
          <w:kern w:val="0"/>
          <w:sz w:val="24"/>
          <w14:textFill>
            <w14:solidFill>
              <w14:schemeClr w14:val="tx1"/>
            </w14:solidFill>
          </w14:textFill>
        </w:rPr>
      </w:pPr>
      <w:r>
        <w:rPr>
          <w:rFonts w:eastAsia="宋体"/>
          <w:b/>
          <w:bCs/>
          <w:snapToGrid w:val="0"/>
          <w:color w:val="000000" w:themeColor="text1"/>
          <w:spacing w:val="-2"/>
          <w:kern w:val="0"/>
          <w:sz w:val="24"/>
          <w14:textFill>
            <w14:solidFill>
              <w14:schemeClr w14:val="tx1"/>
            </w14:solidFill>
          </w14:textFill>
        </w:rPr>
        <w:t>6.2.2行业及生产工艺（M）</w:t>
      </w:r>
    </w:p>
    <w:p w14:paraId="186071B8">
      <w:pPr>
        <w:pStyle w:val="186"/>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分析项目所属行业及生产工艺特点，按照表C1评估生产工艺情况。具有多套工艺单元的项目，对每套生产工艺分别评分并求和。将M划分为(1)M&gt;20；(2)10&lt;M≤20；(3)5&lt;M≤10；(4)M=5，分别以M1、M2、M3和M4表示。</w:t>
      </w:r>
    </w:p>
    <w:p w14:paraId="2C62B588">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行业及生产工艺（M）</w:t>
      </w:r>
    </w:p>
    <w:tbl>
      <w:tblPr>
        <w:tblStyle w:val="171"/>
        <w:tblW w:w="9062"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1"/>
        <w:gridCol w:w="6413"/>
        <w:gridCol w:w="1288"/>
      </w:tblGrid>
      <w:tr w14:paraId="2668D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61" w:type="dxa"/>
          </w:tcPr>
          <w:p w14:paraId="7F4BEDCD">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行业</w:t>
            </w:r>
          </w:p>
        </w:tc>
        <w:tc>
          <w:tcPr>
            <w:tcW w:w="6413" w:type="dxa"/>
          </w:tcPr>
          <w:p w14:paraId="197F2573">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评估依据</w:t>
            </w:r>
          </w:p>
        </w:tc>
        <w:tc>
          <w:tcPr>
            <w:tcW w:w="1288" w:type="dxa"/>
          </w:tcPr>
          <w:p w14:paraId="36EA0808">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分值</w:t>
            </w:r>
          </w:p>
        </w:tc>
      </w:tr>
      <w:tr w14:paraId="24523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1361" w:type="dxa"/>
            <w:vMerge w:val="restart"/>
            <w:tcBorders>
              <w:bottom w:val="nil"/>
            </w:tcBorders>
            <w:vAlign w:val="center"/>
          </w:tcPr>
          <w:p w14:paraId="30EE4E24">
            <w:pPr>
              <w:pStyle w:val="18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石化、化工、医药、轻工、化纤、有色冶炼等</w:t>
            </w:r>
          </w:p>
        </w:tc>
        <w:tc>
          <w:tcPr>
            <w:tcW w:w="6413" w:type="dxa"/>
          </w:tcPr>
          <w:p w14:paraId="588B6399">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1288" w:type="dxa"/>
          </w:tcPr>
          <w:p w14:paraId="7FE8CF8C">
            <w:pPr>
              <w:pStyle w:val="188"/>
              <w:rPr>
                <w:rFonts w:cs="Times New Roman"/>
                <w:color w:val="000000" w:themeColor="text1"/>
                <w14:textFill>
                  <w14:solidFill>
                    <w14:schemeClr w14:val="tx1"/>
                  </w14:solidFill>
                </w14:textFill>
              </w:rPr>
            </w:pPr>
          </w:p>
          <w:p w14:paraId="5BCD34BD">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10/套</w:t>
            </w:r>
          </w:p>
        </w:tc>
      </w:tr>
      <w:tr w14:paraId="43E6F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361" w:type="dxa"/>
            <w:vMerge w:val="continue"/>
            <w:tcBorders>
              <w:top w:val="nil"/>
              <w:bottom w:val="nil"/>
            </w:tcBorders>
          </w:tcPr>
          <w:p w14:paraId="5037259B">
            <w:pPr>
              <w:pStyle w:val="188"/>
              <w:rPr>
                <w:rFonts w:cs="Times New Roman"/>
                <w:color w:val="000000" w:themeColor="text1"/>
                <w:lang w:eastAsia="en-US"/>
                <w14:textFill>
                  <w14:solidFill>
                    <w14:schemeClr w14:val="tx1"/>
                  </w14:solidFill>
                </w14:textFill>
              </w:rPr>
            </w:pPr>
          </w:p>
        </w:tc>
        <w:tc>
          <w:tcPr>
            <w:tcW w:w="6413" w:type="dxa"/>
          </w:tcPr>
          <w:p w14:paraId="33E2873D">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无机酸制酸工艺、焦化工艺</w:t>
            </w:r>
          </w:p>
        </w:tc>
        <w:tc>
          <w:tcPr>
            <w:tcW w:w="1288" w:type="dxa"/>
          </w:tcPr>
          <w:p w14:paraId="379DC2F9">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5/套</w:t>
            </w:r>
          </w:p>
        </w:tc>
      </w:tr>
      <w:tr w14:paraId="24A5C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361" w:type="dxa"/>
            <w:vMerge w:val="continue"/>
            <w:tcBorders>
              <w:top w:val="nil"/>
            </w:tcBorders>
          </w:tcPr>
          <w:p w14:paraId="2BB48D17">
            <w:pPr>
              <w:pStyle w:val="188"/>
              <w:rPr>
                <w:rFonts w:cs="Times New Roman"/>
                <w:color w:val="000000" w:themeColor="text1"/>
                <w:lang w:eastAsia="en-US"/>
                <w14:textFill>
                  <w14:solidFill>
                    <w14:schemeClr w14:val="tx1"/>
                  </w14:solidFill>
                </w14:textFill>
              </w:rPr>
            </w:pPr>
          </w:p>
        </w:tc>
        <w:tc>
          <w:tcPr>
            <w:tcW w:w="6413" w:type="dxa"/>
          </w:tcPr>
          <w:p w14:paraId="6540754C">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其他高温或高压，且涉及危险物质的工艺过程a、危险物质贮存罐区</w:t>
            </w:r>
          </w:p>
        </w:tc>
        <w:tc>
          <w:tcPr>
            <w:tcW w:w="1288" w:type="dxa"/>
          </w:tcPr>
          <w:p w14:paraId="4DD281B5">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5/套（罐区）</w:t>
            </w:r>
          </w:p>
        </w:tc>
      </w:tr>
      <w:tr w14:paraId="34990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361" w:type="dxa"/>
          </w:tcPr>
          <w:p w14:paraId="258BDC0A">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管道、港口/码头等</w:t>
            </w:r>
          </w:p>
        </w:tc>
        <w:tc>
          <w:tcPr>
            <w:tcW w:w="6413" w:type="dxa"/>
          </w:tcPr>
          <w:p w14:paraId="10E7E4DB">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涉及危险物质管道运输项目、港口/码头等</w:t>
            </w:r>
          </w:p>
        </w:tc>
        <w:tc>
          <w:tcPr>
            <w:tcW w:w="1288" w:type="dxa"/>
          </w:tcPr>
          <w:p w14:paraId="29894A0C">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10</w:t>
            </w:r>
          </w:p>
        </w:tc>
      </w:tr>
      <w:tr w14:paraId="02646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361" w:type="dxa"/>
            <w:vAlign w:val="center"/>
          </w:tcPr>
          <w:p w14:paraId="36317A4E">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石油天然气</w:t>
            </w:r>
          </w:p>
        </w:tc>
        <w:tc>
          <w:tcPr>
            <w:tcW w:w="6413" w:type="dxa"/>
          </w:tcPr>
          <w:p w14:paraId="4BCE25CE">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石油、天然气、页岩气开采（含净化），气库（不含加气站的气库）、油库（不含加气站的油库）、油气管线b（不含城镇燃气管线）</w:t>
            </w:r>
          </w:p>
        </w:tc>
        <w:tc>
          <w:tcPr>
            <w:tcW w:w="1288" w:type="dxa"/>
          </w:tcPr>
          <w:p w14:paraId="4B4D0E55">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10</w:t>
            </w:r>
          </w:p>
        </w:tc>
      </w:tr>
      <w:tr w14:paraId="05970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61" w:type="dxa"/>
          </w:tcPr>
          <w:p w14:paraId="4D084FB8">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其他</w:t>
            </w:r>
          </w:p>
        </w:tc>
        <w:tc>
          <w:tcPr>
            <w:tcW w:w="6413" w:type="dxa"/>
          </w:tcPr>
          <w:p w14:paraId="3E8EE895">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涉及危险物质使用、贮存项目</w:t>
            </w:r>
          </w:p>
        </w:tc>
        <w:tc>
          <w:tcPr>
            <w:tcW w:w="1288" w:type="dxa"/>
          </w:tcPr>
          <w:p w14:paraId="3FB29C8D">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5</w:t>
            </w:r>
          </w:p>
        </w:tc>
      </w:tr>
      <w:tr w14:paraId="664E8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062" w:type="dxa"/>
            <w:gridSpan w:val="3"/>
          </w:tcPr>
          <w:p w14:paraId="2C3408C7">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a高温指工艺温度≥300℃，高压指压力容器的涉及大于（P）≥10MPa；b长输管道运输项目应按站场、管线分段进行评价。</w:t>
            </w:r>
          </w:p>
        </w:tc>
      </w:tr>
    </w:tbl>
    <w:p w14:paraId="5A0A6B12">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根据上表可知，本项目涉及危险物质使用、贮存项目，则本项目M=5分，以“M4”</w:t>
      </w:r>
      <w:r>
        <w:rPr>
          <w:rFonts w:cs="Times New Roman"/>
          <w:color w:val="000000" w:themeColor="text1"/>
          <w:kern w:val="0"/>
          <w:szCs w:val="24"/>
          <w14:textFill>
            <w14:solidFill>
              <w14:schemeClr w14:val="tx1"/>
            </w14:solidFill>
          </w14:textFill>
        </w:rPr>
        <w:t>表示；项目</w:t>
      </w:r>
      <w:r>
        <w:rPr>
          <w:rFonts w:cs="Times New Roman"/>
          <w:color w:val="000000" w:themeColor="text1"/>
          <w:spacing w:val="-2"/>
          <w:kern w:val="0"/>
          <w:position w:val="2"/>
          <w:szCs w:val="24"/>
          <w14:textFill>
            <w14:solidFill>
              <w14:schemeClr w14:val="tx1"/>
            </w14:solidFill>
          </w14:textFill>
        </w:rPr>
        <w:t>Q=8.4，1≤Q≤10</w:t>
      </w:r>
      <w:r>
        <w:rPr>
          <w:rFonts w:cs="Times New Roman"/>
          <w:color w:val="000000" w:themeColor="text1"/>
          <w:kern w:val="0"/>
          <w:szCs w:val="24"/>
          <w14:textFill>
            <w14:solidFill>
              <w14:schemeClr w14:val="tx1"/>
            </w14:solidFill>
          </w14:textFill>
        </w:rPr>
        <w:t>，得知本项目的P值为P4。</w:t>
      </w:r>
    </w:p>
    <w:p w14:paraId="0E4E82D7">
      <w:pPr>
        <w:pStyle w:val="186"/>
        <w:ind w:firstLine="462"/>
        <w:rPr>
          <w:rFonts w:cs="Times New Roman"/>
          <w:color w:val="000000" w:themeColor="text1"/>
          <w:kern w:val="0"/>
          <w:szCs w:val="24"/>
          <w14:textFill>
            <w14:solidFill>
              <w14:schemeClr w14:val="tx1"/>
            </w14:solidFill>
          </w14:textFill>
        </w:rPr>
      </w:pPr>
      <w:r>
        <w:rPr>
          <w:rFonts w:cs="Times New Roman"/>
          <w:b/>
          <w:bCs/>
          <w:color w:val="000000" w:themeColor="text1"/>
          <w:spacing w:val="-5"/>
          <w:kern w:val="0"/>
          <w:szCs w:val="24"/>
          <w14:textFill>
            <w14:solidFill>
              <w14:schemeClr w14:val="tx1"/>
            </w14:solidFill>
          </w14:textFill>
        </w:rPr>
        <w:t>6.3E的分级确定</w:t>
      </w:r>
    </w:p>
    <w:p w14:paraId="19B7B811">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分析危险物质在事故情形下的环境影响途径，</w:t>
      </w:r>
      <w:r>
        <w:rPr>
          <w:rFonts w:cs="Times New Roman"/>
          <w:color w:val="000000" w:themeColor="text1"/>
          <w:spacing w:val="-2"/>
          <w:kern w:val="0"/>
          <w:szCs w:val="24"/>
          <w14:textFill>
            <w14:solidFill>
              <w14:schemeClr w14:val="tx1"/>
            </w14:solidFill>
          </w14:textFill>
        </w:rPr>
        <w:t>如大气、地表水、地下水等，按照HJ169-2018附录D对建设项目各要素环境敏感程度（E）等级进行判断。</w:t>
      </w:r>
    </w:p>
    <w:p w14:paraId="1EBA5DA9">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6.3.1大气环境</w:t>
      </w:r>
    </w:p>
    <w:p w14:paraId="4BCA6269">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依据环境敏感目标环境敏感性及人口密度划分环</w:t>
      </w:r>
      <w:r>
        <w:rPr>
          <w:rFonts w:cs="Times New Roman"/>
          <w:color w:val="000000" w:themeColor="text1"/>
          <w:spacing w:val="-2"/>
          <w:kern w:val="0"/>
          <w:szCs w:val="24"/>
          <w14:textFill>
            <w14:solidFill>
              <w14:schemeClr w14:val="tx1"/>
            </w14:solidFill>
          </w14:textFill>
        </w:rPr>
        <w:t>境风险受体的敏感性，共分为三种类型，E1为环境高度敏感区，E2为环境中度敏感区，E3为环境低度敏感区，分级</w:t>
      </w:r>
      <w:r>
        <w:rPr>
          <w:rFonts w:cs="Times New Roman"/>
          <w:color w:val="000000" w:themeColor="text1"/>
          <w:spacing w:val="-3"/>
          <w:kern w:val="0"/>
          <w:szCs w:val="24"/>
          <w14:textFill>
            <w14:solidFill>
              <w14:schemeClr w14:val="tx1"/>
            </w14:solidFill>
          </w14:textFill>
        </w:rPr>
        <w:t>原则见下表。</w:t>
      </w:r>
    </w:p>
    <w:p w14:paraId="7DF06AB8">
      <w:pPr>
        <w:pStyle w:val="7"/>
        <w:rPr>
          <w:snapToGrid w:val="0"/>
          <w:color w:val="000000" w:themeColor="text1"/>
          <w:szCs w:val="24"/>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w:t>
      </w:r>
      <w:r>
        <w:rPr>
          <w:snapToGrid w:val="0"/>
          <w:color w:val="000000" w:themeColor="text1"/>
          <w:szCs w:val="24"/>
          <w14:textFill>
            <w14:solidFill>
              <w14:schemeClr w14:val="tx1"/>
            </w14:solidFill>
          </w14:textFill>
        </w:rPr>
        <w:t>大气环境敏感程度分级</w:t>
      </w:r>
    </w:p>
    <w:tbl>
      <w:tblPr>
        <w:tblStyle w:val="171"/>
        <w:tblW w:w="90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6"/>
        <w:gridCol w:w="8326"/>
      </w:tblGrid>
      <w:tr w14:paraId="4D1D6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36" w:type="dxa"/>
          </w:tcPr>
          <w:p w14:paraId="2AB12016">
            <w:pPr>
              <w:kinsoku w:val="0"/>
              <w:autoSpaceDE w:val="0"/>
              <w:autoSpaceDN w:val="0"/>
              <w:adjustRightInd w:val="0"/>
              <w:snapToGrid w:val="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分级</w:t>
            </w:r>
          </w:p>
        </w:tc>
        <w:tc>
          <w:tcPr>
            <w:tcW w:w="8326" w:type="dxa"/>
          </w:tcPr>
          <w:p w14:paraId="57D5CD9D">
            <w:pPr>
              <w:kinsoku w:val="0"/>
              <w:autoSpaceDE w:val="0"/>
              <w:autoSpaceDN w:val="0"/>
              <w:adjustRightInd w:val="0"/>
              <w:snapToGrid w:val="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大气环境敏感性</w:t>
            </w:r>
          </w:p>
        </w:tc>
      </w:tr>
      <w:tr w14:paraId="309FA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36" w:type="dxa"/>
            <w:vAlign w:val="center"/>
          </w:tcPr>
          <w:p w14:paraId="6708A99D">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8326" w:type="dxa"/>
          </w:tcPr>
          <w:p w14:paraId="5B32BF40">
            <w:pPr>
              <w:kinsoku w:val="0"/>
              <w:autoSpaceDE w:val="0"/>
              <w:autoSpaceDN w:val="0"/>
              <w:adjustRightInd w:val="0"/>
              <w:snapToGrid w:val="0"/>
              <w:ind w:right="108"/>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1"/>
                <w:kern w:val="0"/>
                <w:szCs w:val="20"/>
                <w14:textFill>
                  <w14:solidFill>
                    <w14:schemeClr w14:val="tx1"/>
                  </w14:solidFill>
                </w14:textFill>
              </w:rPr>
              <w:t>周边5</w:t>
            </w:r>
            <w:r>
              <w:rPr>
                <w:rFonts w:eastAsia="宋体"/>
                <w:snapToGrid w:val="0"/>
                <w:color w:val="000000" w:themeColor="text1"/>
                <w:kern w:val="0"/>
                <w:szCs w:val="20"/>
                <w14:textFill>
                  <w14:solidFill>
                    <w14:schemeClr w14:val="tx1"/>
                  </w14:solidFill>
                </w14:textFill>
              </w:rPr>
              <w:t>km</w:t>
            </w:r>
            <w:r>
              <w:rPr>
                <w:rFonts w:eastAsia="宋体"/>
                <w:snapToGrid w:val="0"/>
                <w:color w:val="000000" w:themeColor="text1"/>
                <w:spacing w:val="11"/>
                <w:kern w:val="0"/>
                <w:szCs w:val="20"/>
                <w14:textFill>
                  <w14:solidFill>
                    <w14:schemeClr w14:val="tx1"/>
                  </w14:solidFill>
                </w14:textFill>
              </w:rPr>
              <w:t>公里范围内居住区、医疗卫生机构、文化教育机构、科研、行政办公等机</w:t>
            </w:r>
            <w:r>
              <w:rPr>
                <w:rFonts w:eastAsia="宋体"/>
                <w:snapToGrid w:val="0"/>
                <w:color w:val="000000" w:themeColor="text1"/>
                <w:spacing w:val="10"/>
                <w:kern w:val="0"/>
                <w:szCs w:val="20"/>
                <w14:textFill>
                  <w14:solidFill>
                    <w14:schemeClr w14:val="tx1"/>
                  </w14:solidFill>
                </w14:textFill>
              </w:rPr>
              <w:t>构人</w:t>
            </w:r>
            <w:r>
              <w:rPr>
                <w:rFonts w:eastAsia="宋体"/>
                <w:snapToGrid w:val="0"/>
                <w:color w:val="000000" w:themeColor="text1"/>
                <w:spacing w:val="9"/>
                <w:kern w:val="0"/>
                <w:szCs w:val="20"/>
                <w14:textFill>
                  <w14:solidFill>
                    <w14:schemeClr w14:val="tx1"/>
                  </w14:solidFill>
                </w14:textFill>
              </w:rPr>
              <w:t>口总数大于5万人，或其他需要特殊保护区域；或周边500m范围内人口总数大于1000</w:t>
            </w:r>
            <w:r>
              <w:rPr>
                <w:rFonts w:eastAsia="宋体"/>
                <w:snapToGrid w:val="0"/>
                <w:color w:val="000000" w:themeColor="text1"/>
                <w:spacing w:val="8"/>
                <w:kern w:val="0"/>
                <w:szCs w:val="20"/>
                <w14:textFill>
                  <w14:solidFill>
                    <w14:schemeClr w14:val="tx1"/>
                  </w14:solidFill>
                </w14:textFill>
              </w:rPr>
              <w:t>人；油气、化学品输送管线管段周边200m范围内，每千米管段人口数大于200</w:t>
            </w:r>
            <w:r>
              <w:rPr>
                <w:rFonts w:eastAsia="宋体"/>
                <w:snapToGrid w:val="0"/>
                <w:color w:val="000000" w:themeColor="text1"/>
                <w:spacing w:val="7"/>
                <w:kern w:val="0"/>
                <w:szCs w:val="20"/>
                <w14:textFill>
                  <w14:solidFill>
                    <w14:schemeClr w14:val="tx1"/>
                  </w14:solidFill>
                </w14:textFill>
              </w:rPr>
              <w:t>人。</w:t>
            </w:r>
          </w:p>
        </w:tc>
      </w:tr>
      <w:tr w14:paraId="54A4B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736" w:type="dxa"/>
            <w:vAlign w:val="center"/>
          </w:tcPr>
          <w:p w14:paraId="6768BE2C">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E2</w:t>
            </w:r>
          </w:p>
        </w:tc>
        <w:tc>
          <w:tcPr>
            <w:tcW w:w="8326" w:type="dxa"/>
          </w:tcPr>
          <w:p w14:paraId="7E8C2681">
            <w:pPr>
              <w:kinsoku w:val="0"/>
              <w:autoSpaceDE w:val="0"/>
              <w:autoSpaceDN w:val="0"/>
              <w:adjustRightInd w:val="0"/>
              <w:snapToGrid w:val="0"/>
              <w:ind w:right="108" w:firstLine="4"/>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1"/>
                <w:kern w:val="0"/>
                <w:szCs w:val="20"/>
                <w14:textFill>
                  <w14:solidFill>
                    <w14:schemeClr w14:val="tx1"/>
                  </w14:solidFill>
                </w14:textFill>
              </w:rPr>
              <w:t>周边5</w:t>
            </w:r>
            <w:r>
              <w:rPr>
                <w:rFonts w:eastAsia="宋体"/>
                <w:snapToGrid w:val="0"/>
                <w:color w:val="000000" w:themeColor="text1"/>
                <w:kern w:val="0"/>
                <w:szCs w:val="20"/>
                <w14:textFill>
                  <w14:solidFill>
                    <w14:schemeClr w14:val="tx1"/>
                  </w14:solidFill>
                </w14:textFill>
              </w:rPr>
              <w:t>km</w:t>
            </w:r>
            <w:r>
              <w:rPr>
                <w:rFonts w:eastAsia="宋体"/>
                <w:snapToGrid w:val="0"/>
                <w:color w:val="000000" w:themeColor="text1"/>
                <w:spacing w:val="11"/>
                <w:kern w:val="0"/>
                <w:szCs w:val="20"/>
                <w14:textFill>
                  <w14:solidFill>
                    <w14:schemeClr w14:val="tx1"/>
                  </w14:solidFill>
                </w14:textFill>
              </w:rPr>
              <w:t>公里范围内居住区、医疗卫生机构、文化教育机构、科研、行政办公等机</w:t>
            </w:r>
            <w:r>
              <w:rPr>
                <w:rFonts w:eastAsia="宋体"/>
                <w:snapToGrid w:val="0"/>
                <w:color w:val="000000" w:themeColor="text1"/>
                <w:spacing w:val="10"/>
                <w:kern w:val="0"/>
                <w:szCs w:val="20"/>
                <w14:textFill>
                  <w14:solidFill>
                    <w14:schemeClr w14:val="tx1"/>
                  </w14:solidFill>
                </w14:textFill>
              </w:rPr>
              <w:t>构人</w:t>
            </w:r>
            <w:r>
              <w:rPr>
                <w:rFonts w:eastAsia="宋体"/>
                <w:snapToGrid w:val="0"/>
                <w:color w:val="000000" w:themeColor="text1"/>
                <w:spacing w:val="8"/>
                <w:kern w:val="0"/>
                <w:szCs w:val="20"/>
                <w14:textFill>
                  <w14:solidFill>
                    <w14:schemeClr w14:val="tx1"/>
                  </w14:solidFill>
                </w14:textFill>
              </w:rPr>
              <w:t>口总数大于1万人，小于5万人；或周边5</w:t>
            </w:r>
            <w:r>
              <w:rPr>
                <w:rFonts w:eastAsia="宋体"/>
                <w:snapToGrid w:val="0"/>
                <w:color w:val="000000" w:themeColor="text1"/>
                <w:spacing w:val="7"/>
                <w:kern w:val="0"/>
                <w:szCs w:val="20"/>
                <w14:textFill>
                  <w14:solidFill>
                    <w14:schemeClr w14:val="tx1"/>
                  </w14:solidFill>
                </w14:textFill>
              </w:rPr>
              <w:t>00m范围内人口总数大于500人，小于1000人；油气、化学品输送管线管段周边200m范围内，每千米管段人口数大于100人，小于</w:t>
            </w:r>
            <w:r>
              <w:rPr>
                <w:rFonts w:eastAsia="宋体"/>
                <w:snapToGrid w:val="0"/>
                <w:color w:val="000000" w:themeColor="text1"/>
                <w:spacing w:val="2"/>
                <w:kern w:val="0"/>
                <w:szCs w:val="20"/>
                <w14:textFill>
                  <w14:solidFill>
                    <w14:schemeClr w14:val="tx1"/>
                  </w14:solidFill>
                </w14:textFill>
              </w:rPr>
              <w:t>200人。</w:t>
            </w:r>
          </w:p>
        </w:tc>
      </w:tr>
      <w:tr w14:paraId="7876C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736" w:type="dxa"/>
            <w:vAlign w:val="center"/>
          </w:tcPr>
          <w:p w14:paraId="70BD7FE6">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E3</w:t>
            </w:r>
          </w:p>
        </w:tc>
        <w:tc>
          <w:tcPr>
            <w:tcW w:w="8326" w:type="dxa"/>
          </w:tcPr>
          <w:p w14:paraId="0EC5B348">
            <w:pPr>
              <w:kinsoku w:val="0"/>
              <w:autoSpaceDE w:val="0"/>
              <w:autoSpaceDN w:val="0"/>
              <w:adjustRightInd w:val="0"/>
              <w:snapToGrid w:val="0"/>
              <w:ind w:right="108"/>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1"/>
                <w:kern w:val="0"/>
                <w:szCs w:val="20"/>
                <w14:textFill>
                  <w14:solidFill>
                    <w14:schemeClr w14:val="tx1"/>
                  </w14:solidFill>
                </w14:textFill>
              </w:rPr>
              <w:t>周边5</w:t>
            </w:r>
            <w:r>
              <w:rPr>
                <w:rFonts w:eastAsia="宋体"/>
                <w:snapToGrid w:val="0"/>
                <w:color w:val="000000" w:themeColor="text1"/>
                <w:kern w:val="0"/>
                <w:szCs w:val="20"/>
                <w14:textFill>
                  <w14:solidFill>
                    <w14:schemeClr w14:val="tx1"/>
                  </w14:solidFill>
                </w14:textFill>
              </w:rPr>
              <w:t>km</w:t>
            </w:r>
            <w:r>
              <w:rPr>
                <w:rFonts w:eastAsia="宋体"/>
                <w:snapToGrid w:val="0"/>
                <w:color w:val="000000" w:themeColor="text1"/>
                <w:spacing w:val="11"/>
                <w:kern w:val="0"/>
                <w:szCs w:val="20"/>
                <w14:textFill>
                  <w14:solidFill>
                    <w14:schemeClr w14:val="tx1"/>
                  </w14:solidFill>
                </w14:textFill>
              </w:rPr>
              <w:t>公里范围内居住区、医疗卫生机构、文化教育机构、科研、行政办公等机</w:t>
            </w:r>
            <w:r>
              <w:rPr>
                <w:rFonts w:eastAsia="宋体"/>
                <w:snapToGrid w:val="0"/>
                <w:color w:val="000000" w:themeColor="text1"/>
                <w:spacing w:val="10"/>
                <w:kern w:val="0"/>
                <w:szCs w:val="20"/>
                <w14:textFill>
                  <w14:solidFill>
                    <w14:schemeClr w14:val="tx1"/>
                  </w14:solidFill>
                </w14:textFill>
              </w:rPr>
              <w:t>构人</w:t>
            </w:r>
            <w:r>
              <w:rPr>
                <w:rFonts w:eastAsia="宋体"/>
                <w:snapToGrid w:val="0"/>
                <w:color w:val="000000" w:themeColor="text1"/>
                <w:spacing w:val="6"/>
                <w:kern w:val="0"/>
                <w:szCs w:val="20"/>
                <w14:textFill>
                  <w14:solidFill>
                    <w14:schemeClr w14:val="tx1"/>
                  </w14:solidFill>
                </w14:textFill>
              </w:rPr>
              <w:t>口总数小于1万人；或周边500m范围内人口总数小于500人；油气、化学品输送管线管段周边200m范围内，每千米管段人口数小于100人。</w:t>
            </w:r>
          </w:p>
        </w:tc>
      </w:tr>
    </w:tbl>
    <w:p w14:paraId="2B20BDE5">
      <w:pPr>
        <w:pStyle w:val="186"/>
        <w:ind w:firstLine="480"/>
        <w:rPr>
          <w:rFonts w:cs="Times New Roman"/>
          <w:color w:val="000000" w:themeColor="text1"/>
          <w:kern w:val="0"/>
          <w:szCs w:val="24"/>
          <w14:textFill>
            <w14:solidFill>
              <w14:schemeClr w14:val="tx1"/>
            </w14:solidFill>
          </w14:textFill>
        </w:rPr>
      </w:pPr>
      <w:r>
        <w:rPr>
          <w:rFonts w:cs="Times New Roman"/>
          <w:color w:val="000000" w:themeColor="text1"/>
          <w:kern w:val="0"/>
          <w:szCs w:val="24"/>
          <w14:textFill>
            <w14:solidFill>
              <w14:schemeClr w14:val="tx1"/>
            </w14:solidFill>
          </w14:textFill>
        </w:rPr>
        <w:t>根据表5得知，建设项目周边500m范围内人口数量为350</w:t>
      </w:r>
      <w:r>
        <w:rPr>
          <w:rFonts w:cs="Times New Roman"/>
          <w:color w:val="000000" w:themeColor="text1"/>
          <w:spacing w:val="-1"/>
          <w:kern w:val="0"/>
          <w:szCs w:val="24"/>
          <w14:textFill>
            <w14:solidFill>
              <w14:schemeClr w14:val="tx1"/>
            </w14:solidFill>
          </w14:textFill>
        </w:rPr>
        <w:t>人，5km范围内</w:t>
      </w:r>
      <w:r>
        <w:rPr>
          <w:rFonts w:cs="Times New Roman"/>
          <w:color w:val="000000" w:themeColor="text1"/>
          <w:spacing w:val="-2"/>
          <w:kern w:val="0"/>
          <w:szCs w:val="24"/>
          <w14:textFill>
            <w14:solidFill>
              <w14:schemeClr w14:val="tx1"/>
            </w14:solidFill>
          </w14:textFill>
        </w:rPr>
        <w:t>居住区、医疗卫生、文化教育、科研、行政办公等机构人口总数大于5万人，</w:t>
      </w:r>
      <w:r>
        <w:rPr>
          <w:rFonts w:cs="Times New Roman"/>
          <w:color w:val="000000" w:themeColor="text1"/>
          <w:spacing w:val="-3"/>
          <w:kern w:val="0"/>
          <w:szCs w:val="24"/>
          <w14:textFill>
            <w14:solidFill>
              <w14:schemeClr w14:val="tx1"/>
            </w14:solidFill>
          </w14:textFill>
        </w:rPr>
        <w:t>因此大</w:t>
      </w:r>
      <w:r>
        <w:rPr>
          <w:rFonts w:cs="Times New Roman"/>
          <w:color w:val="000000" w:themeColor="text1"/>
          <w:spacing w:val="-1"/>
          <w:kern w:val="0"/>
          <w:szCs w:val="24"/>
          <w14:textFill>
            <w14:solidFill>
              <w14:schemeClr w14:val="tx1"/>
            </w14:solidFill>
          </w14:textFill>
        </w:rPr>
        <w:t>气敏感程度分级为“E1”。</w:t>
      </w:r>
    </w:p>
    <w:p w14:paraId="7DDC2E85">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6.3.2地表水环境</w:t>
      </w:r>
    </w:p>
    <w:p w14:paraId="34D38BF2">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依据事故情况下危险物质的泄漏到水体的排放点</w:t>
      </w:r>
      <w:r>
        <w:rPr>
          <w:rFonts w:cs="Times New Roman"/>
          <w:color w:val="000000" w:themeColor="text1"/>
          <w:spacing w:val="-2"/>
          <w:kern w:val="0"/>
          <w:szCs w:val="24"/>
          <w14:textFill>
            <w14:solidFill>
              <w14:schemeClr w14:val="tx1"/>
            </w14:solidFill>
          </w14:textFill>
        </w:rPr>
        <w:t>收纳地表水体功能敏感性，与下</w:t>
      </w:r>
      <w:r>
        <w:rPr>
          <w:rFonts w:cs="Times New Roman"/>
          <w:color w:val="000000" w:themeColor="text1"/>
          <w:kern w:val="0"/>
          <w:szCs w:val="24"/>
          <w14:textFill>
            <w14:solidFill>
              <w14:schemeClr w14:val="tx1"/>
            </w14:solidFill>
          </w14:textFill>
        </w:rPr>
        <w:t>游环境敏感目标情况，共分为三种类型，E1为环境高度敏感区，E2为环境中度敏感</w:t>
      </w:r>
      <w:r>
        <w:rPr>
          <w:rFonts w:cs="Times New Roman"/>
          <w:color w:val="000000" w:themeColor="text1"/>
          <w:spacing w:val="-1"/>
          <w:kern w:val="0"/>
          <w:szCs w:val="24"/>
          <w14:textFill>
            <w14:solidFill>
              <w14:schemeClr w14:val="tx1"/>
            </w14:solidFill>
          </w14:textFill>
        </w:rPr>
        <w:t>区，E3为环境低度敏感区，见下表。</w:t>
      </w:r>
    </w:p>
    <w:p w14:paraId="211AADF2">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地表水环境敏感程度分级</w:t>
      </w:r>
    </w:p>
    <w:tbl>
      <w:tblPr>
        <w:tblStyle w:val="171"/>
        <w:tblW w:w="90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6"/>
        <w:gridCol w:w="2262"/>
        <w:gridCol w:w="2262"/>
        <w:gridCol w:w="2272"/>
      </w:tblGrid>
      <w:tr w14:paraId="72184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2266" w:type="dxa"/>
            <w:vMerge w:val="restart"/>
            <w:tcBorders>
              <w:bottom w:val="nil"/>
            </w:tcBorders>
          </w:tcPr>
          <w:p w14:paraId="582EC973">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环境敏感目标</w:t>
            </w:r>
          </w:p>
        </w:tc>
        <w:tc>
          <w:tcPr>
            <w:tcW w:w="6796" w:type="dxa"/>
            <w:gridSpan w:val="3"/>
          </w:tcPr>
          <w:p w14:paraId="7FC091F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地表水功能敏感性</w:t>
            </w:r>
          </w:p>
        </w:tc>
      </w:tr>
      <w:tr w14:paraId="3A491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2266" w:type="dxa"/>
            <w:vMerge w:val="continue"/>
            <w:tcBorders>
              <w:top w:val="nil"/>
            </w:tcBorders>
          </w:tcPr>
          <w:p w14:paraId="447211F6">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2262" w:type="dxa"/>
          </w:tcPr>
          <w:p w14:paraId="4EED0AD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F1</w:t>
            </w:r>
          </w:p>
        </w:tc>
        <w:tc>
          <w:tcPr>
            <w:tcW w:w="2262" w:type="dxa"/>
          </w:tcPr>
          <w:p w14:paraId="7C011CE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F2</w:t>
            </w:r>
          </w:p>
        </w:tc>
        <w:tc>
          <w:tcPr>
            <w:tcW w:w="2272" w:type="dxa"/>
          </w:tcPr>
          <w:p w14:paraId="125BC1B7">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F3</w:t>
            </w:r>
          </w:p>
        </w:tc>
      </w:tr>
      <w:tr w14:paraId="4BDBB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2266" w:type="dxa"/>
          </w:tcPr>
          <w:p w14:paraId="3019BB13">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S1</w:t>
            </w:r>
          </w:p>
        </w:tc>
        <w:tc>
          <w:tcPr>
            <w:tcW w:w="2262" w:type="dxa"/>
          </w:tcPr>
          <w:p w14:paraId="54AAEF64">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2262" w:type="dxa"/>
          </w:tcPr>
          <w:p w14:paraId="3A266077">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2272" w:type="dxa"/>
          </w:tcPr>
          <w:p w14:paraId="1F6A798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E2</w:t>
            </w:r>
          </w:p>
        </w:tc>
      </w:tr>
      <w:tr w14:paraId="53898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2266" w:type="dxa"/>
          </w:tcPr>
          <w:p w14:paraId="59A33C06">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S2</w:t>
            </w:r>
          </w:p>
        </w:tc>
        <w:tc>
          <w:tcPr>
            <w:tcW w:w="2262" w:type="dxa"/>
          </w:tcPr>
          <w:p w14:paraId="69DFB704">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2262" w:type="dxa"/>
          </w:tcPr>
          <w:p w14:paraId="16DA210C">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E2</w:t>
            </w:r>
          </w:p>
        </w:tc>
        <w:tc>
          <w:tcPr>
            <w:tcW w:w="2272" w:type="dxa"/>
          </w:tcPr>
          <w:p w14:paraId="55E4151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E3</w:t>
            </w:r>
          </w:p>
        </w:tc>
      </w:tr>
      <w:tr w14:paraId="7E79B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2266" w:type="dxa"/>
          </w:tcPr>
          <w:p w14:paraId="1F96A537">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S3</w:t>
            </w:r>
          </w:p>
        </w:tc>
        <w:tc>
          <w:tcPr>
            <w:tcW w:w="2262" w:type="dxa"/>
          </w:tcPr>
          <w:p w14:paraId="3C53EF5D">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2262" w:type="dxa"/>
          </w:tcPr>
          <w:p w14:paraId="14E3A40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E2</w:t>
            </w:r>
          </w:p>
        </w:tc>
        <w:tc>
          <w:tcPr>
            <w:tcW w:w="2272" w:type="dxa"/>
          </w:tcPr>
          <w:p w14:paraId="44CF1D0D">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E3</w:t>
            </w:r>
          </w:p>
        </w:tc>
      </w:tr>
    </w:tbl>
    <w:p w14:paraId="3E2E6DD8">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地表水功能敏感性分区</w:t>
      </w:r>
    </w:p>
    <w:tbl>
      <w:tblPr>
        <w:tblStyle w:val="171"/>
        <w:tblW w:w="90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7"/>
        <w:gridCol w:w="8335"/>
      </w:tblGrid>
      <w:tr w14:paraId="6DA7B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27" w:type="dxa"/>
          </w:tcPr>
          <w:p w14:paraId="53527923">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分级</w:t>
            </w:r>
          </w:p>
        </w:tc>
        <w:tc>
          <w:tcPr>
            <w:tcW w:w="8335" w:type="dxa"/>
          </w:tcPr>
          <w:p w14:paraId="4A6072F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地表水环境敏感特征</w:t>
            </w:r>
          </w:p>
        </w:tc>
      </w:tr>
      <w:tr w14:paraId="1A2A5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27" w:type="dxa"/>
            <w:vAlign w:val="center"/>
          </w:tcPr>
          <w:p w14:paraId="7AFCA466">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F1</w:t>
            </w:r>
          </w:p>
        </w:tc>
        <w:tc>
          <w:tcPr>
            <w:tcW w:w="8335" w:type="dxa"/>
          </w:tcPr>
          <w:p w14:paraId="23AE0EC6">
            <w:pPr>
              <w:kinsoku w:val="0"/>
              <w:autoSpaceDE w:val="0"/>
              <w:autoSpaceDN w:val="0"/>
              <w:adjustRightInd w:val="0"/>
              <w:snapToGrid w:val="0"/>
              <w:ind w:right="159" w:hanging="2"/>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排放点进入地表水水域环境功能为Ⅱ类及以上，或海水水质分类第一类或以发生事故时，</w:t>
            </w:r>
            <w:r>
              <w:rPr>
                <w:rFonts w:eastAsia="宋体"/>
                <w:snapToGrid w:val="0"/>
                <w:color w:val="000000" w:themeColor="text1"/>
                <w:spacing w:val="9"/>
                <w:kern w:val="0"/>
                <w:szCs w:val="20"/>
                <w14:textFill>
                  <w14:solidFill>
                    <w14:schemeClr w14:val="tx1"/>
                  </w14:solidFill>
                </w14:textFill>
              </w:rPr>
              <w:t>危险物质泄漏到排放点算起，排放进入河流最大流速，24h</w:t>
            </w:r>
            <w:r>
              <w:rPr>
                <w:rFonts w:eastAsia="宋体"/>
                <w:snapToGrid w:val="0"/>
                <w:color w:val="000000" w:themeColor="text1"/>
                <w:spacing w:val="8"/>
                <w:kern w:val="0"/>
                <w:szCs w:val="20"/>
                <w14:textFill>
                  <w14:solidFill>
                    <w14:schemeClr w14:val="tx1"/>
                  </w14:solidFill>
                </w14:textFill>
              </w:rPr>
              <w:t>流经范围内涉跨国界的。</w:t>
            </w:r>
          </w:p>
        </w:tc>
      </w:tr>
      <w:tr w14:paraId="4F18C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27" w:type="dxa"/>
            <w:vAlign w:val="center"/>
          </w:tcPr>
          <w:p w14:paraId="18F66C24">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F2</w:t>
            </w:r>
          </w:p>
        </w:tc>
        <w:tc>
          <w:tcPr>
            <w:tcW w:w="8335" w:type="dxa"/>
          </w:tcPr>
          <w:p w14:paraId="12E0C999">
            <w:pPr>
              <w:kinsoku w:val="0"/>
              <w:autoSpaceDE w:val="0"/>
              <w:autoSpaceDN w:val="0"/>
              <w:adjustRightInd w:val="0"/>
              <w:snapToGrid w:val="0"/>
              <w:ind w:right="96" w:hanging="2"/>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排放点进入地表水水域环境功能为Ⅲ类及以上，或海水水质分类第二类或以发生事故时，</w:t>
            </w:r>
            <w:r>
              <w:rPr>
                <w:rFonts w:eastAsia="宋体"/>
                <w:snapToGrid w:val="0"/>
                <w:color w:val="000000" w:themeColor="text1"/>
                <w:spacing w:val="9"/>
                <w:kern w:val="0"/>
                <w:szCs w:val="20"/>
                <w14:textFill>
                  <w14:solidFill>
                    <w14:schemeClr w14:val="tx1"/>
                  </w14:solidFill>
                </w14:textFill>
              </w:rPr>
              <w:t>危险物质泄漏到排放点算起，排放进入河流最大流速，24h</w:t>
            </w:r>
            <w:r>
              <w:rPr>
                <w:rFonts w:eastAsia="宋体"/>
                <w:snapToGrid w:val="0"/>
                <w:color w:val="000000" w:themeColor="text1"/>
                <w:spacing w:val="8"/>
                <w:kern w:val="0"/>
                <w:szCs w:val="20"/>
                <w14:textFill>
                  <w14:solidFill>
                    <w14:schemeClr w14:val="tx1"/>
                  </w14:solidFill>
                </w14:textFill>
              </w:rPr>
              <w:t>流经范围内涉跨省界的。</w:t>
            </w:r>
          </w:p>
        </w:tc>
      </w:tr>
      <w:tr w14:paraId="1F968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27" w:type="dxa"/>
            <w:vAlign w:val="center"/>
          </w:tcPr>
          <w:p w14:paraId="3ED8484A">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F3</w:t>
            </w:r>
          </w:p>
        </w:tc>
        <w:tc>
          <w:tcPr>
            <w:tcW w:w="8335" w:type="dxa"/>
          </w:tcPr>
          <w:p w14:paraId="563BB354">
            <w:pPr>
              <w:kinsoku w:val="0"/>
              <w:autoSpaceDE w:val="0"/>
              <w:autoSpaceDN w:val="0"/>
              <w:adjustRightInd w:val="0"/>
              <w:snapToGrid w:val="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上述地区之外的其他地区</w:t>
            </w:r>
          </w:p>
        </w:tc>
      </w:tr>
    </w:tbl>
    <w:p w14:paraId="5B829852">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w:t>
      </w:r>
      <w:r>
        <w:rPr>
          <w:color w:val="000000" w:themeColor="text1"/>
          <w:lang w:eastAsia="en-US"/>
          <w14:textFill>
            <w14:solidFill>
              <w14:schemeClr w14:val="tx1"/>
            </w14:solidFill>
          </w14:textFill>
        </w:rPr>
        <w:t>环境敏感目标分级</w:t>
      </w:r>
    </w:p>
    <w:tbl>
      <w:tblPr>
        <w:tblStyle w:val="171"/>
        <w:tblW w:w="90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8350"/>
      </w:tblGrid>
      <w:tr w14:paraId="2BEDF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712" w:type="dxa"/>
          </w:tcPr>
          <w:p w14:paraId="2CEBE11F">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分级</w:t>
            </w:r>
          </w:p>
        </w:tc>
        <w:tc>
          <w:tcPr>
            <w:tcW w:w="8350" w:type="dxa"/>
          </w:tcPr>
          <w:p w14:paraId="0099F63F">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环境敏感目标</w:t>
            </w:r>
          </w:p>
        </w:tc>
      </w:tr>
      <w:tr w14:paraId="48346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5" w:hRule="atLeast"/>
        </w:trPr>
        <w:tc>
          <w:tcPr>
            <w:tcW w:w="712" w:type="dxa"/>
            <w:vAlign w:val="center"/>
          </w:tcPr>
          <w:p w14:paraId="4AA5C434">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S1</w:t>
            </w:r>
          </w:p>
        </w:tc>
        <w:tc>
          <w:tcPr>
            <w:tcW w:w="8350" w:type="dxa"/>
          </w:tcPr>
          <w:p w14:paraId="5E19D64F">
            <w:pPr>
              <w:kinsoku w:val="0"/>
              <w:autoSpaceDE w:val="0"/>
              <w:autoSpaceDN w:val="0"/>
              <w:adjustRightInd w:val="0"/>
              <w:snapToGrid w:val="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0"/>
                <w:kern w:val="0"/>
                <w:szCs w:val="20"/>
                <w14:textFill>
                  <w14:solidFill>
                    <w14:schemeClr w14:val="tx1"/>
                  </w14:solidFill>
                </w14:textFill>
              </w:rPr>
              <w:t>发生事故时，危险物质泄漏到内陆水体的排放点下游（顺水流向）10</w:t>
            </w:r>
            <w:r>
              <w:rPr>
                <w:rFonts w:eastAsia="宋体"/>
                <w:snapToGrid w:val="0"/>
                <w:color w:val="000000" w:themeColor="text1"/>
                <w:kern w:val="0"/>
                <w:szCs w:val="20"/>
                <w14:textFill>
                  <w14:solidFill>
                    <w14:schemeClr w14:val="tx1"/>
                  </w14:solidFill>
                </w14:textFill>
              </w:rPr>
              <w:t>km</w:t>
            </w:r>
            <w:r>
              <w:rPr>
                <w:rFonts w:eastAsia="宋体"/>
                <w:snapToGrid w:val="0"/>
                <w:color w:val="000000" w:themeColor="text1"/>
                <w:spacing w:val="10"/>
                <w:kern w:val="0"/>
                <w:szCs w:val="20"/>
                <w14:textFill>
                  <w14:solidFill>
                    <w14:schemeClr w14:val="tx1"/>
                  </w14:solidFill>
                </w14:textFill>
              </w:rPr>
              <w:t>范围内、近岸海</w:t>
            </w:r>
            <w:r>
              <w:rPr>
                <w:rFonts w:eastAsia="宋体"/>
                <w:snapToGrid w:val="0"/>
                <w:color w:val="000000" w:themeColor="text1"/>
                <w:spacing w:val="8"/>
                <w:kern w:val="0"/>
                <w:szCs w:val="20"/>
                <w14:textFill>
                  <w14:solidFill>
                    <w14:schemeClr w14:val="tx1"/>
                  </w14:solidFill>
                </w14:textFill>
              </w:rPr>
              <w:t>域一个潮周期水质点可能达到的最大水平距离的两倍范围内，有如下一类或多类环境风险</w:t>
            </w:r>
            <w:r>
              <w:rPr>
                <w:rFonts w:eastAsia="宋体"/>
                <w:snapToGrid w:val="0"/>
                <w:color w:val="000000" w:themeColor="text1"/>
                <w:spacing w:val="9"/>
                <w:kern w:val="0"/>
                <w:szCs w:val="20"/>
                <w14:textFill>
                  <w14:solidFill>
                    <w14:schemeClr w14:val="tx1"/>
                  </w14:solidFill>
                </w14:textFill>
              </w:rPr>
              <w:t>受体：集中式地表水饮用水水源保护区（包</w:t>
            </w:r>
            <w:r>
              <w:rPr>
                <w:rFonts w:eastAsia="宋体"/>
                <w:snapToGrid w:val="0"/>
                <w:color w:val="000000" w:themeColor="text1"/>
                <w:spacing w:val="8"/>
                <w:kern w:val="0"/>
                <w:szCs w:val="20"/>
                <w14:textFill>
                  <w14:solidFill>
                    <w14:schemeClr w14:val="tx1"/>
                  </w14:solidFill>
                </w14:textFill>
              </w:rPr>
              <w:t>括一级保护区、二级保护区及准保护区</w:t>
            </w:r>
            <w:r>
              <w:rPr>
                <w:rFonts w:eastAsia="宋体"/>
                <w:snapToGrid w:val="0"/>
                <w:color w:val="000000" w:themeColor="text1"/>
                <w:spacing w:val="4"/>
                <w:kern w:val="0"/>
                <w:szCs w:val="20"/>
                <w14:textFill>
                  <w14:solidFill>
                    <w14:schemeClr w14:val="tx1"/>
                  </w14:solidFill>
                </w14:textFill>
              </w:rPr>
              <w:t>）；</w:t>
            </w:r>
            <w:r>
              <w:rPr>
                <w:rFonts w:eastAsia="宋体"/>
                <w:snapToGrid w:val="0"/>
                <w:color w:val="000000" w:themeColor="text1"/>
                <w:spacing w:val="8"/>
                <w:kern w:val="0"/>
                <w:szCs w:val="20"/>
                <w14:textFill>
                  <w14:solidFill>
                    <w14:schemeClr w14:val="tx1"/>
                  </w14:solidFill>
                </w14:textFill>
              </w:rPr>
              <w:t>农村分散式饮用水水源保护区；自然保护区；重要湿地；珍稀濒危野生动植物天然集中分布区；重要水生生物的自然产卵场及索饵场、越冬场和洄游通道；世界文化和自然遗产地；红树林、珊瑚礁等滨海湿地生态系统；珍稀、濒危的海洋生物的天然集中分布区；海洋特别保护区；海上自然保护区；盐场保护区；海水浴场；海洋自然历史遗迹；风景名胜区；或其他特殊重要保护区域。</w:t>
            </w:r>
          </w:p>
        </w:tc>
      </w:tr>
      <w:tr w14:paraId="5DEF3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712" w:type="dxa"/>
            <w:vAlign w:val="center"/>
          </w:tcPr>
          <w:p w14:paraId="529496E2">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S2</w:t>
            </w:r>
          </w:p>
        </w:tc>
        <w:tc>
          <w:tcPr>
            <w:tcW w:w="8350" w:type="dxa"/>
          </w:tcPr>
          <w:p w14:paraId="2CC978D0">
            <w:pPr>
              <w:kinsoku w:val="0"/>
              <w:autoSpaceDE w:val="0"/>
              <w:autoSpaceDN w:val="0"/>
              <w:adjustRightInd w:val="0"/>
              <w:snapToGrid w:val="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0"/>
                <w:kern w:val="0"/>
                <w:szCs w:val="20"/>
                <w14:textFill>
                  <w14:solidFill>
                    <w14:schemeClr w14:val="tx1"/>
                  </w14:solidFill>
                </w14:textFill>
              </w:rPr>
              <w:t>发生事故时，危险物质泄漏到内陆水体的排放点下游（顺水流向）10</w:t>
            </w:r>
            <w:r>
              <w:rPr>
                <w:rFonts w:eastAsia="宋体"/>
                <w:snapToGrid w:val="0"/>
                <w:color w:val="000000" w:themeColor="text1"/>
                <w:kern w:val="0"/>
                <w:szCs w:val="20"/>
                <w14:textFill>
                  <w14:solidFill>
                    <w14:schemeClr w14:val="tx1"/>
                  </w14:solidFill>
                </w14:textFill>
              </w:rPr>
              <w:t>km</w:t>
            </w:r>
            <w:r>
              <w:rPr>
                <w:rFonts w:eastAsia="宋体"/>
                <w:snapToGrid w:val="0"/>
                <w:color w:val="000000" w:themeColor="text1"/>
                <w:spacing w:val="10"/>
                <w:kern w:val="0"/>
                <w:szCs w:val="20"/>
                <w14:textFill>
                  <w14:solidFill>
                    <w14:schemeClr w14:val="tx1"/>
                  </w14:solidFill>
                </w14:textFill>
              </w:rPr>
              <w:t>范围内、近岸海</w:t>
            </w:r>
            <w:r>
              <w:rPr>
                <w:rFonts w:eastAsia="宋体"/>
                <w:snapToGrid w:val="0"/>
                <w:color w:val="000000" w:themeColor="text1"/>
                <w:spacing w:val="8"/>
                <w:kern w:val="0"/>
                <w:szCs w:val="20"/>
                <w14:textFill>
                  <w14:solidFill>
                    <w14:schemeClr w14:val="tx1"/>
                  </w14:solidFill>
                </w14:textFill>
              </w:rPr>
              <w:t>域一个潮周期水质点可能达到的最大水平距离的两倍范围内，有如下一类或多类环境风险受体：水产养殖区；天然渔场；森林公园；地质公园；海滨风景游览区；具有重要经济价值的海洋生物生存区域。</w:t>
            </w:r>
          </w:p>
        </w:tc>
      </w:tr>
      <w:tr w14:paraId="63337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12" w:type="dxa"/>
            <w:vAlign w:val="center"/>
          </w:tcPr>
          <w:p w14:paraId="3B70B682">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S3</w:t>
            </w:r>
          </w:p>
        </w:tc>
        <w:tc>
          <w:tcPr>
            <w:tcW w:w="8350" w:type="dxa"/>
          </w:tcPr>
          <w:p w14:paraId="7408C7DB">
            <w:pPr>
              <w:kinsoku w:val="0"/>
              <w:autoSpaceDE w:val="0"/>
              <w:autoSpaceDN w:val="0"/>
              <w:adjustRightInd w:val="0"/>
              <w:snapToGrid w:val="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1"/>
                <w:kern w:val="0"/>
                <w:szCs w:val="20"/>
                <w14:textFill>
                  <w14:solidFill>
                    <w14:schemeClr w14:val="tx1"/>
                  </w14:solidFill>
                </w14:textFill>
              </w:rPr>
              <w:t>排放点下游（顺水流向）10</w:t>
            </w:r>
            <w:r>
              <w:rPr>
                <w:rFonts w:eastAsia="宋体"/>
                <w:snapToGrid w:val="0"/>
                <w:color w:val="000000" w:themeColor="text1"/>
                <w:kern w:val="0"/>
                <w:szCs w:val="20"/>
                <w14:textFill>
                  <w14:solidFill>
                    <w14:schemeClr w14:val="tx1"/>
                  </w14:solidFill>
                </w14:textFill>
              </w:rPr>
              <w:t>km</w:t>
            </w:r>
            <w:r>
              <w:rPr>
                <w:rFonts w:eastAsia="宋体"/>
                <w:snapToGrid w:val="0"/>
                <w:color w:val="000000" w:themeColor="text1"/>
                <w:spacing w:val="11"/>
                <w:kern w:val="0"/>
                <w:szCs w:val="20"/>
                <w14:textFill>
                  <w14:solidFill>
                    <w14:schemeClr w14:val="tx1"/>
                  </w14:solidFill>
                </w14:textFill>
              </w:rPr>
              <w:t>范围内、近岸</w:t>
            </w:r>
            <w:r>
              <w:rPr>
                <w:rFonts w:eastAsia="宋体"/>
                <w:snapToGrid w:val="0"/>
                <w:color w:val="000000" w:themeColor="text1"/>
                <w:spacing w:val="10"/>
                <w:kern w:val="0"/>
                <w:szCs w:val="20"/>
                <w14:textFill>
                  <w14:solidFill>
                    <w14:schemeClr w14:val="tx1"/>
                  </w14:solidFill>
                </w14:textFill>
              </w:rPr>
              <w:t>海域一个潮周期水质点可能达到的最大水平</w:t>
            </w:r>
            <w:r>
              <w:rPr>
                <w:rFonts w:eastAsia="宋体"/>
                <w:snapToGrid w:val="0"/>
                <w:color w:val="000000" w:themeColor="text1"/>
                <w:spacing w:val="7"/>
                <w:kern w:val="0"/>
                <w:szCs w:val="20"/>
                <w14:textFill>
                  <w14:solidFill>
                    <w14:schemeClr w14:val="tx1"/>
                  </w14:solidFill>
                </w14:textFill>
              </w:rPr>
              <w:t>距离的两倍范围内无上述类型1和类型2包括的敏感保护目标。</w:t>
            </w:r>
          </w:p>
        </w:tc>
      </w:tr>
    </w:tbl>
    <w:p w14:paraId="4F570227">
      <w:pPr>
        <w:pStyle w:val="186"/>
        <w:ind w:firstLine="468"/>
        <w:rPr>
          <w:rFonts w:cs="Times New Roman"/>
          <w:color w:val="000000" w:themeColor="text1"/>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根据本项目无排水管网，无地表水污染途径。</w:t>
      </w:r>
    </w:p>
    <w:p w14:paraId="77C51867">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6.3.3地下水环境</w:t>
      </w:r>
    </w:p>
    <w:p w14:paraId="600B8F02">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依据地下水功能敏感性与包气带防污性能，共分为三种类型，E1为环境高度敏</w:t>
      </w:r>
      <w:r>
        <w:rPr>
          <w:rFonts w:cs="Times New Roman"/>
          <w:color w:val="000000" w:themeColor="text1"/>
          <w:spacing w:val="-3"/>
          <w:kern w:val="0"/>
          <w:szCs w:val="24"/>
          <w14:textFill>
            <w14:solidFill>
              <w14:schemeClr w14:val="tx1"/>
            </w14:solidFill>
          </w14:textFill>
        </w:rPr>
        <w:t>感区，E2为环境中度敏感区，E3为环境低度敏感区，分级原则见下表。其中地下</w:t>
      </w:r>
      <w:r>
        <w:rPr>
          <w:rFonts w:cs="Times New Roman"/>
          <w:color w:val="000000" w:themeColor="text1"/>
          <w:spacing w:val="-2"/>
          <w:kern w:val="0"/>
          <w:szCs w:val="24"/>
          <w14:textFill>
            <w14:solidFill>
              <w14:schemeClr w14:val="tx1"/>
            </w14:solidFill>
          </w14:textFill>
        </w:rPr>
        <w:t>水功能敏感性与包气带防污性能分级分别见下表，当同一建设项目涉及</w:t>
      </w:r>
      <w:r>
        <w:rPr>
          <w:rFonts w:cs="Times New Roman"/>
          <w:color w:val="000000" w:themeColor="text1"/>
          <w:spacing w:val="-1"/>
          <w:kern w:val="0"/>
          <w:szCs w:val="24"/>
          <w14:textFill>
            <w14:solidFill>
              <w14:schemeClr w14:val="tx1"/>
            </w14:solidFill>
          </w14:textFill>
        </w:rPr>
        <w:t>两个G分区和D分级以上时，取相对</w:t>
      </w:r>
      <w:r>
        <w:rPr>
          <w:rFonts w:cs="Times New Roman"/>
          <w:color w:val="000000" w:themeColor="text1"/>
          <w:spacing w:val="-2"/>
          <w:kern w:val="0"/>
          <w:szCs w:val="24"/>
          <w14:textFill>
            <w14:solidFill>
              <w14:schemeClr w14:val="tx1"/>
            </w14:solidFill>
          </w14:textFill>
        </w:rPr>
        <w:t>高值。</w:t>
      </w:r>
    </w:p>
    <w:p w14:paraId="4A1C38AD">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地下水环境敏感程度分级</w:t>
      </w:r>
    </w:p>
    <w:tbl>
      <w:tblPr>
        <w:tblStyle w:val="171"/>
        <w:tblW w:w="90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4"/>
        <w:gridCol w:w="2260"/>
        <w:gridCol w:w="2262"/>
        <w:gridCol w:w="2276"/>
      </w:tblGrid>
      <w:tr w14:paraId="32A37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264" w:type="dxa"/>
            <w:vMerge w:val="restart"/>
            <w:tcBorders>
              <w:bottom w:val="nil"/>
            </w:tcBorders>
          </w:tcPr>
          <w:p w14:paraId="5A7C223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环境敏感目标</w:t>
            </w:r>
          </w:p>
        </w:tc>
        <w:tc>
          <w:tcPr>
            <w:tcW w:w="6798" w:type="dxa"/>
            <w:gridSpan w:val="3"/>
          </w:tcPr>
          <w:p w14:paraId="6EEF6F7F">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地表水功能敏感性</w:t>
            </w:r>
          </w:p>
        </w:tc>
      </w:tr>
      <w:tr w14:paraId="01C6F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2264" w:type="dxa"/>
            <w:vMerge w:val="continue"/>
            <w:tcBorders>
              <w:top w:val="nil"/>
            </w:tcBorders>
          </w:tcPr>
          <w:p w14:paraId="3F2D2978">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2260" w:type="dxa"/>
          </w:tcPr>
          <w:p w14:paraId="4BB95E3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G1</w:t>
            </w:r>
          </w:p>
        </w:tc>
        <w:tc>
          <w:tcPr>
            <w:tcW w:w="2262" w:type="dxa"/>
          </w:tcPr>
          <w:p w14:paraId="5BFEA45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G2</w:t>
            </w:r>
          </w:p>
        </w:tc>
        <w:tc>
          <w:tcPr>
            <w:tcW w:w="2276" w:type="dxa"/>
          </w:tcPr>
          <w:p w14:paraId="7FBF4FE3">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G3</w:t>
            </w:r>
          </w:p>
        </w:tc>
      </w:tr>
      <w:tr w14:paraId="1A6E0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2264" w:type="dxa"/>
          </w:tcPr>
          <w:p w14:paraId="4624F281">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D1</w:t>
            </w:r>
          </w:p>
        </w:tc>
        <w:tc>
          <w:tcPr>
            <w:tcW w:w="2260" w:type="dxa"/>
          </w:tcPr>
          <w:p w14:paraId="4CD1C7DF">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2262" w:type="dxa"/>
          </w:tcPr>
          <w:p w14:paraId="15D1891D">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2276" w:type="dxa"/>
          </w:tcPr>
          <w:p w14:paraId="62A5EF0F">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E2</w:t>
            </w:r>
          </w:p>
        </w:tc>
      </w:tr>
      <w:tr w14:paraId="6E6C2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2264" w:type="dxa"/>
          </w:tcPr>
          <w:p w14:paraId="7795B671">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D2</w:t>
            </w:r>
          </w:p>
        </w:tc>
        <w:tc>
          <w:tcPr>
            <w:tcW w:w="2260" w:type="dxa"/>
          </w:tcPr>
          <w:p w14:paraId="2BEC0EB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2262" w:type="dxa"/>
          </w:tcPr>
          <w:p w14:paraId="513CD79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E2</w:t>
            </w:r>
          </w:p>
        </w:tc>
        <w:tc>
          <w:tcPr>
            <w:tcW w:w="2276" w:type="dxa"/>
          </w:tcPr>
          <w:p w14:paraId="2A9CA48D">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E3</w:t>
            </w:r>
          </w:p>
        </w:tc>
      </w:tr>
      <w:tr w14:paraId="0960C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2264" w:type="dxa"/>
          </w:tcPr>
          <w:p w14:paraId="6A563F6C">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D3</w:t>
            </w:r>
          </w:p>
        </w:tc>
        <w:tc>
          <w:tcPr>
            <w:tcW w:w="2260" w:type="dxa"/>
          </w:tcPr>
          <w:p w14:paraId="7E0512DC">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E1</w:t>
            </w:r>
          </w:p>
        </w:tc>
        <w:tc>
          <w:tcPr>
            <w:tcW w:w="2262" w:type="dxa"/>
          </w:tcPr>
          <w:p w14:paraId="5C6966E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E2</w:t>
            </w:r>
          </w:p>
        </w:tc>
        <w:tc>
          <w:tcPr>
            <w:tcW w:w="2276" w:type="dxa"/>
          </w:tcPr>
          <w:p w14:paraId="58AF749E">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E3</w:t>
            </w:r>
          </w:p>
        </w:tc>
      </w:tr>
    </w:tbl>
    <w:p w14:paraId="3662F6C4">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地下水功能敏感性分区</w:t>
      </w:r>
    </w:p>
    <w:tbl>
      <w:tblPr>
        <w:tblStyle w:val="171"/>
        <w:tblW w:w="90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8234"/>
      </w:tblGrid>
      <w:tr w14:paraId="4B07A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828" w:type="dxa"/>
          </w:tcPr>
          <w:p w14:paraId="744B0586">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分级</w:t>
            </w:r>
          </w:p>
        </w:tc>
        <w:tc>
          <w:tcPr>
            <w:tcW w:w="8234" w:type="dxa"/>
          </w:tcPr>
          <w:p w14:paraId="095DD67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地下水环境敏感特征</w:t>
            </w:r>
          </w:p>
        </w:tc>
      </w:tr>
      <w:tr w14:paraId="1149D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828" w:type="dxa"/>
            <w:vAlign w:val="center"/>
          </w:tcPr>
          <w:p w14:paraId="1579E806">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G1</w:t>
            </w:r>
          </w:p>
        </w:tc>
        <w:tc>
          <w:tcPr>
            <w:tcW w:w="8234" w:type="dxa"/>
          </w:tcPr>
          <w:p w14:paraId="55AA9B8B">
            <w:pPr>
              <w:kinsoku w:val="0"/>
              <w:autoSpaceDE w:val="0"/>
              <w:autoSpaceDN w:val="0"/>
              <w:adjustRightInd w:val="0"/>
              <w:snapToGrid w:val="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0"/>
                <w:kern w:val="0"/>
                <w:szCs w:val="20"/>
                <w14:textFill>
                  <w14:solidFill>
                    <w14:schemeClr w14:val="tx1"/>
                  </w14:solidFill>
                </w14:textFill>
              </w:rPr>
              <w:t>集中式饮用水水源（包括已建成的在用、备用、应急水源，在建和规划的饮用水水源）</w:t>
            </w:r>
            <w:r>
              <w:rPr>
                <w:rFonts w:eastAsia="宋体"/>
                <w:snapToGrid w:val="0"/>
                <w:color w:val="000000" w:themeColor="text1"/>
                <w:spacing w:val="11"/>
                <w:kern w:val="0"/>
                <w:szCs w:val="20"/>
                <w14:textFill>
                  <w14:solidFill>
                    <w14:schemeClr w14:val="tx1"/>
                  </w14:solidFill>
                </w14:textFill>
              </w:rPr>
              <w:t>准保护区；除集中式饮用水水源以外的国家或地方政府</w:t>
            </w:r>
            <w:r>
              <w:rPr>
                <w:rFonts w:eastAsia="宋体"/>
                <w:snapToGrid w:val="0"/>
                <w:color w:val="000000" w:themeColor="text1"/>
                <w:spacing w:val="10"/>
                <w:kern w:val="0"/>
                <w:szCs w:val="20"/>
                <w14:textFill>
                  <w14:solidFill>
                    <w14:schemeClr w14:val="tx1"/>
                  </w14:solidFill>
                </w14:textFill>
              </w:rPr>
              <w:t>设定的与地下水相关的其他保护</w:t>
            </w:r>
            <w:r>
              <w:rPr>
                <w:rFonts w:eastAsia="宋体"/>
                <w:snapToGrid w:val="0"/>
                <w:color w:val="000000" w:themeColor="text1"/>
                <w:spacing w:val="9"/>
                <w:kern w:val="0"/>
                <w:szCs w:val="20"/>
                <w14:textFill>
                  <w14:solidFill>
                    <w14:schemeClr w14:val="tx1"/>
                  </w14:solidFill>
                </w14:textFill>
              </w:rPr>
              <w:t>区，如热水、矿泉水、温泉等特殊地下水资源保护区。</w:t>
            </w:r>
          </w:p>
        </w:tc>
      </w:tr>
      <w:tr w14:paraId="16726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828" w:type="dxa"/>
            <w:vAlign w:val="center"/>
          </w:tcPr>
          <w:p w14:paraId="08E4BE42">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G2</w:t>
            </w:r>
          </w:p>
        </w:tc>
        <w:tc>
          <w:tcPr>
            <w:tcW w:w="8234" w:type="dxa"/>
          </w:tcPr>
          <w:p w14:paraId="7AC915B2">
            <w:pPr>
              <w:kinsoku w:val="0"/>
              <w:autoSpaceDE w:val="0"/>
              <w:autoSpaceDN w:val="0"/>
              <w:adjustRightInd w:val="0"/>
              <w:snapToGrid w:val="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0"/>
                <w:kern w:val="0"/>
                <w:szCs w:val="20"/>
                <w14:textFill>
                  <w14:solidFill>
                    <w14:schemeClr w14:val="tx1"/>
                  </w14:solidFill>
                </w14:textFill>
              </w:rPr>
              <w:t>集中式饮用水水源（包括已建成的在用、备用、应急水源，在建和规划的饮用水水源）</w:t>
            </w:r>
            <w:r>
              <w:rPr>
                <w:rFonts w:eastAsia="宋体"/>
                <w:snapToGrid w:val="0"/>
                <w:color w:val="000000" w:themeColor="text1"/>
                <w:spacing w:val="11"/>
                <w:kern w:val="0"/>
                <w:szCs w:val="20"/>
                <w14:textFill>
                  <w14:solidFill>
                    <w14:schemeClr w14:val="tx1"/>
                  </w14:solidFill>
                </w14:textFill>
              </w:rPr>
              <w:t>准保护区以外的补给径流区；未划定准保护区的集中式饮</w:t>
            </w:r>
            <w:r>
              <w:rPr>
                <w:rFonts w:eastAsia="宋体"/>
                <w:snapToGrid w:val="0"/>
                <w:color w:val="000000" w:themeColor="text1"/>
                <w:spacing w:val="10"/>
                <w:kern w:val="0"/>
                <w:szCs w:val="20"/>
                <w14:textFill>
                  <w14:solidFill>
                    <w14:schemeClr w14:val="tx1"/>
                  </w14:solidFill>
                </w14:textFill>
              </w:rPr>
              <w:t>用水水源，其保护区以外的补</w:t>
            </w:r>
            <w:r>
              <w:rPr>
                <w:rFonts w:eastAsia="宋体"/>
                <w:snapToGrid w:val="0"/>
                <w:color w:val="000000" w:themeColor="text1"/>
                <w:spacing w:val="11"/>
                <w:kern w:val="0"/>
                <w:szCs w:val="20"/>
                <w14:textFill>
                  <w14:solidFill>
                    <w14:schemeClr w14:val="tx1"/>
                  </w14:solidFill>
                </w14:textFill>
              </w:rPr>
              <w:t>给径流区；分散式饮用水水源地；特殊地下水资源（如热</w:t>
            </w:r>
            <w:r>
              <w:rPr>
                <w:rFonts w:eastAsia="宋体"/>
                <w:snapToGrid w:val="0"/>
                <w:color w:val="000000" w:themeColor="text1"/>
                <w:spacing w:val="10"/>
                <w:kern w:val="0"/>
                <w:szCs w:val="20"/>
                <w14:textFill>
                  <w14:solidFill>
                    <w14:schemeClr w14:val="tx1"/>
                  </w14:solidFill>
                </w14:textFill>
              </w:rPr>
              <w:t>水、矿泉水、温泉等）保护区</w:t>
            </w:r>
            <w:r>
              <w:rPr>
                <w:rFonts w:eastAsia="宋体"/>
                <w:snapToGrid w:val="0"/>
                <w:color w:val="000000" w:themeColor="text1"/>
                <w:spacing w:val="8"/>
                <w:kern w:val="0"/>
                <w:szCs w:val="20"/>
                <w14:textFill>
                  <w14:solidFill>
                    <w14:schemeClr w14:val="tx1"/>
                  </w14:solidFill>
                </w14:textFill>
              </w:rPr>
              <w:t>以外的分布区等其他未列入上述敏感分级的环境敏感区</w:t>
            </w:r>
            <w:r>
              <w:rPr>
                <w:rFonts w:eastAsia="宋体"/>
                <w:snapToGrid w:val="0"/>
                <w:color w:val="000000" w:themeColor="text1"/>
                <w:spacing w:val="8"/>
                <w:kern w:val="0"/>
                <w:position w:val="6"/>
                <w:szCs w:val="13"/>
                <w14:textFill>
                  <w14:solidFill>
                    <w14:schemeClr w14:val="tx1"/>
                  </w14:solidFill>
                </w14:textFill>
              </w:rPr>
              <w:t>a</w:t>
            </w:r>
            <w:r>
              <w:rPr>
                <w:rFonts w:eastAsia="宋体"/>
                <w:snapToGrid w:val="0"/>
                <w:color w:val="000000" w:themeColor="text1"/>
                <w:spacing w:val="8"/>
                <w:kern w:val="0"/>
                <w:szCs w:val="20"/>
                <w14:textFill>
                  <w14:solidFill>
                    <w14:schemeClr w14:val="tx1"/>
                  </w14:solidFill>
                </w14:textFill>
              </w:rPr>
              <w:t>。</w:t>
            </w:r>
          </w:p>
        </w:tc>
      </w:tr>
      <w:tr w14:paraId="3B92B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28" w:type="dxa"/>
            <w:vAlign w:val="center"/>
          </w:tcPr>
          <w:p w14:paraId="5DA6214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G3</w:t>
            </w:r>
          </w:p>
        </w:tc>
        <w:tc>
          <w:tcPr>
            <w:tcW w:w="8234" w:type="dxa"/>
          </w:tcPr>
          <w:p w14:paraId="706E74EA">
            <w:pPr>
              <w:kinsoku w:val="0"/>
              <w:autoSpaceDE w:val="0"/>
              <w:autoSpaceDN w:val="0"/>
              <w:adjustRightInd w:val="0"/>
              <w:snapToGrid w:val="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上述其他地区</w:t>
            </w:r>
          </w:p>
        </w:tc>
      </w:tr>
      <w:tr w14:paraId="22768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062" w:type="dxa"/>
            <w:gridSpan w:val="2"/>
          </w:tcPr>
          <w:p w14:paraId="195448E7">
            <w:pPr>
              <w:kinsoku w:val="0"/>
              <w:autoSpaceDE w:val="0"/>
              <w:autoSpaceDN w:val="0"/>
              <w:adjustRightInd w:val="0"/>
              <w:snapToGrid w:val="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a：“环境敏感区”是指《建设项目环境影响评价分类管理名录》中所界定的涉及地下水</w:t>
            </w:r>
            <w:r>
              <w:rPr>
                <w:rFonts w:eastAsia="宋体"/>
                <w:snapToGrid w:val="0"/>
                <w:color w:val="000000" w:themeColor="text1"/>
                <w:spacing w:val="4"/>
                <w:kern w:val="0"/>
                <w:szCs w:val="20"/>
                <w14:textFill>
                  <w14:solidFill>
                    <w14:schemeClr w14:val="tx1"/>
                  </w14:solidFill>
                </w14:textFill>
              </w:rPr>
              <w:t>的环境敏感区。</w:t>
            </w:r>
          </w:p>
        </w:tc>
      </w:tr>
    </w:tbl>
    <w:p w14:paraId="42919FAE">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根据现场踏勘及查阅相关资料，项目区域无上述G1和</w:t>
      </w:r>
      <w:r>
        <w:rPr>
          <w:rFonts w:cs="Times New Roman"/>
          <w:color w:val="000000" w:themeColor="text1"/>
          <w:spacing w:val="1"/>
          <w:kern w:val="0"/>
          <w:szCs w:val="24"/>
          <w14:textFill>
            <w14:solidFill>
              <w14:schemeClr w14:val="tx1"/>
            </w14:solidFill>
          </w14:textFill>
        </w:rPr>
        <w:t>G2所述的敏感区及保护</w:t>
      </w:r>
      <w:r>
        <w:rPr>
          <w:rFonts w:cs="Times New Roman"/>
          <w:color w:val="000000" w:themeColor="text1"/>
          <w:spacing w:val="-2"/>
          <w:kern w:val="0"/>
          <w:szCs w:val="24"/>
          <w14:textFill>
            <w14:solidFill>
              <w14:schemeClr w14:val="tx1"/>
            </w14:solidFill>
          </w14:textFill>
        </w:rPr>
        <w:t>区，判断项目地下水环境敏感程度分区为“G3”。</w:t>
      </w:r>
    </w:p>
    <w:p w14:paraId="3B5F0E4F">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包气带防污性能分级</w:t>
      </w:r>
    </w:p>
    <w:tbl>
      <w:tblPr>
        <w:tblStyle w:val="171"/>
        <w:tblW w:w="90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
        <w:gridCol w:w="8143"/>
      </w:tblGrid>
      <w:tr w14:paraId="4B9B8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919" w:type="dxa"/>
          </w:tcPr>
          <w:p w14:paraId="376553AA">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分级</w:t>
            </w:r>
          </w:p>
        </w:tc>
        <w:tc>
          <w:tcPr>
            <w:tcW w:w="8143" w:type="dxa"/>
          </w:tcPr>
          <w:p w14:paraId="7CA6E390">
            <w:pPr>
              <w:pStyle w:val="18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包气带岩土的渗透性能</w:t>
            </w:r>
          </w:p>
        </w:tc>
      </w:tr>
      <w:tr w14:paraId="2A04C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19" w:type="dxa"/>
          </w:tcPr>
          <w:p w14:paraId="0F2BED96">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D3</w:t>
            </w:r>
          </w:p>
        </w:tc>
        <w:tc>
          <w:tcPr>
            <w:tcW w:w="8143" w:type="dxa"/>
          </w:tcPr>
          <w:p w14:paraId="40714981">
            <w:pPr>
              <w:pStyle w:val="18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Mb≥1.0m，K≤1.0×10</w:t>
            </w:r>
            <w:r>
              <w:rPr>
                <w:rFonts w:cs="Times New Roman"/>
                <w:color w:val="000000" w:themeColor="text1"/>
                <w:vertAlign w:val="superscript"/>
                <w14:textFill>
                  <w14:solidFill>
                    <w14:schemeClr w14:val="tx1"/>
                  </w14:solidFill>
                </w14:textFill>
              </w:rPr>
              <w:t>-6</w:t>
            </w:r>
            <w:r>
              <w:rPr>
                <w:rFonts w:cs="Times New Roman"/>
                <w:color w:val="000000" w:themeColor="text1"/>
                <w14:textFill>
                  <w14:solidFill>
                    <w14:schemeClr w14:val="tx1"/>
                  </w14:solidFill>
                </w14:textFill>
              </w:rPr>
              <w:t>cm/s，且分布连续、稳定</w:t>
            </w:r>
          </w:p>
        </w:tc>
      </w:tr>
      <w:tr w14:paraId="748E1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919" w:type="dxa"/>
          </w:tcPr>
          <w:p w14:paraId="7E9FD4EF">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D2</w:t>
            </w:r>
          </w:p>
        </w:tc>
        <w:tc>
          <w:tcPr>
            <w:tcW w:w="8143" w:type="dxa"/>
          </w:tcPr>
          <w:p w14:paraId="08354FED">
            <w:pPr>
              <w:pStyle w:val="18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0.5≤Mb&lt;1.0m，K≤1.0×10</w:t>
            </w:r>
            <w:r>
              <w:rPr>
                <w:rFonts w:cs="Times New Roman"/>
                <w:color w:val="000000" w:themeColor="text1"/>
                <w:vertAlign w:val="superscript"/>
                <w14:textFill>
                  <w14:solidFill>
                    <w14:schemeClr w14:val="tx1"/>
                  </w14:solidFill>
                </w14:textFill>
              </w:rPr>
              <w:t>-6</w:t>
            </w:r>
            <w:r>
              <w:rPr>
                <w:rFonts w:cs="Times New Roman"/>
                <w:color w:val="000000" w:themeColor="text1"/>
                <w14:textFill>
                  <w14:solidFill>
                    <w14:schemeClr w14:val="tx1"/>
                  </w14:solidFill>
                </w14:textFill>
              </w:rPr>
              <w:t>cm/s，且分布连续、稳定</w:t>
            </w:r>
          </w:p>
          <w:p w14:paraId="1C8D7236">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Mb≥1.0m，1.0×10</w:t>
            </w:r>
            <w:r>
              <w:rPr>
                <w:rFonts w:cs="Times New Roman"/>
                <w:color w:val="000000" w:themeColor="text1"/>
                <w:vertAlign w:val="superscript"/>
                <w:lang w:eastAsia="en-US"/>
                <w14:textFill>
                  <w14:solidFill>
                    <w14:schemeClr w14:val="tx1"/>
                  </w14:solidFill>
                </w14:textFill>
              </w:rPr>
              <w:t>-6</w:t>
            </w:r>
            <w:r>
              <w:rPr>
                <w:rFonts w:cs="Times New Roman"/>
                <w:color w:val="000000" w:themeColor="text1"/>
                <w:lang w:eastAsia="en-US"/>
                <w14:textFill>
                  <w14:solidFill>
                    <w14:schemeClr w14:val="tx1"/>
                  </w14:solidFill>
                </w14:textFill>
              </w:rPr>
              <w:t>cm/s&lt;K≤1.0×10</w:t>
            </w:r>
            <w:r>
              <w:rPr>
                <w:rFonts w:cs="Times New Roman"/>
                <w:color w:val="000000" w:themeColor="text1"/>
                <w:vertAlign w:val="superscript"/>
                <w:lang w:eastAsia="en-US"/>
                <w14:textFill>
                  <w14:solidFill>
                    <w14:schemeClr w14:val="tx1"/>
                  </w14:solidFill>
                </w14:textFill>
              </w:rPr>
              <w:t>-4</w:t>
            </w:r>
            <w:r>
              <w:rPr>
                <w:rFonts w:cs="Times New Roman"/>
                <w:color w:val="000000" w:themeColor="text1"/>
                <w:lang w:eastAsia="en-US"/>
                <w14:textFill>
                  <w14:solidFill>
                    <w14:schemeClr w14:val="tx1"/>
                  </w14:solidFill>
                </w14:textFill>
              </w:rPr>
              <w:t>cm/s，且分布连续、稳定</w:t>
            </w:r>
          </w:p>
        </w:tc>
      </w:tr>
      <w:tr w14:paraId="58E8B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19" w:type="dxa"/>
          </w:tcPr>
          <w:p w14:paraId="3891E877">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D1</w:t>
            </w:r>
          </w:p>
        </w:tc>
        <w:tc>
          <w:tcPr>
            <w:tcW w:w="8143" w:type="dxa"/>
          </w:tcPr>
          <w:p w14:paraId="61344D1F">
            <w:pPr>
              <w:pStyle w:val="18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岩土层不满足上述“D2”和“D3”条件</w:t>
            </w:r>
          </w:p>
        </w:tc>
      </w:tr>
      <w:tr w14:paraId="216C2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9062" w:type="dxa"/>
            <w:gridSpan w:val="2"/>
          </w:tcPr>
          <w:p w14:paraId="41F08554">
            <w:pPr>
              <w:kinsoku w:val="0"/>
              <w:autoSpaceDE w:val="0"/>
              <w:autoSpaceDN w:val="0"/>
              <w:adjustRightInd w:val="0"/>
              <w:snapToGrid w:val="0"/>
              <w:ind w:right="108"/>
              <w:jc w:val="left"/>
              <w:textAlignment w:val="baseline"/>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Mb：岩土层单层厚度；</w:t>
            </w:r>
          </w:p>
          <w:p w14:paraId="1676B8C9">
            <w:pPr>
              <w:kinsoku w:val="0"/>
              <w:autoSpaceDE w:val="0"/>
              <w:autoSpaceDN w:val="0"/>
              <w:adjustRightInd w:val="0"/>
              <w:snapToGrid w:val="0"/>
              <w:ind w:right="108"/>
              <w:jc w:val="left"/>
              <w:textAlignment w:val="baseline"/>
              <w:rPr>
                <w:rFonts w:eastAsia="宋体"/>
                <w:color w:val="000000" w:themeColor="text1"/>
                <w:lang w:eastAsia="en-US"/>
                <w14:textFill>
                  <w14:solidFill>
                    <w14:schemeClr w14:val="tx1"/>
                  </w14:solidFill>
                </w14:textFill>
              </w:rPr>
            </w:pPr>
            <w:r>
              <w:rPr>
                <w:rFonts w:eastAsia="宋体"/>
                <w:color w:val="000000" w:themeColor="text1"/>
                <w:lang w:eastAsia="en-US"/>
                <w14:textFill>
                  <w14:solidFill>
                    <w14:schemeClr w14:val="tx1"/>
                  </w14:solidFill>
                </w14:textFill>
              </w:rPr>
              <w:t>K：渗透系数</w:t>
            </w:r>
          </w:p>
        </w:tc>
      </w:tr>
    </w:tbl>
    <w:p w14:paraId="5FB436F0">
      <w:pPr>
        <w:pStyle w:val="186"/>
        <w:ind w:firstLine="448"/>
        <w:rPr>
          <w:rFonts w:cs="Times New Roman"/>
          <w:color w:val="000000" w:themeColor="text1"/>
          <w:kern w:val="0"/>
          <w:szCs w:val="24"/>
          <w14:textFill>
            <w14:solidFill>
              <w14:schemeClr w14:val="tx1"/>
            </w14:solidFill>
          </w14:textFill>
        </w:rPr>
      </w:pPr>
      <w:r>
        <w:rPr>
          <w:rFonts w:cs="Times New Roman"/>
          <w:color w:val="000000" w:themeColor="text1"/>
          <w:spacing w:val="-8"/>
          <w:kern w:val="0"/>
          <w:szCs w:val="24"/>
          <w14:textFill>
            <w14:solidFill>
              <w14:schemeClr w14:val="tx1"/>
            </w14:solidFill>
          </w14:textFill>
        </w:rPr>
        <w:t>根据上表及区域水文地质资料，项目区域判断项目地下水环境敏感分级为“D2”。</w:t>
      </w:r>
      <w:r>
        <w:rPr>
          <w:rFonts w:cs="Times New Roman"/>
          <w:color w:val="000000" w:themeColor="text1"/>
          <w:spacing w:val="-1"/>
          <w:kern w:val="0"/>
          <w:szCs w:val="24"/>
          <w14:textFill>
            <w14:solidFill>
              <w14:schemeClr w14:val="tx1"/>
            </w14:solidFill>
          </w14:textFill>
        </w:rPr>
        <w:t>因此，根据条件判定项目地下水敏感程度分级为“E</w:t>
      </w:r>
      <w:r>
        <w:rPr>
          <w:rFonts w:cs="Times New Roman"/>
          <w:color w:val="000000" w:themeColor="text1"/>
          <w:spacing w:val="-2"/>
          <w:kern w:val="0"/>
          <w:szCs w:val="24"/>
          <w14:textFill>
            <w14:solidFill>
              <w14:schemeClr w14:val="tx1"/>
            </w14:solidFill>
          </w14:textFill>
        </w:rPr>
        <w:t>3”。</w:t>
      </w:r>
    </w:p>
    <w:p w14:paraId="642A2FA4">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综上分析得知，项目的各环境要素环境敏感程度如下表。</w:t>
      </w:r>
    </w:p>
    <w:p w14:paraId="58933E87">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各环境要素环境敏感程度</w:t>
      </w:r>
    </w:p>
    <w:tbl>
      <w:tblPr>
        <w:tblStyle w:val="171"/>
        <w:tblW w:w="9060"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6"/>
        <w:gridCol w:w="3453"/>
        <w:gridCol w:w="2585"/>
        <w:gridCol w:w="1946"/>
      </w:tblGrid>
      <w:tr w14:paraId="1B839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076" w:type="dxa"/>
          </w:tcPr>
          <w:p w14:paraId="6ABD4A67">
            <w:pPr>
              <w:kinsoku w:val="0"/>
              <w:autoSpaceDE w:val="0"/>
              <w:autoSpaceDN w:val="0"/>
              <w:adjustRightInd w:val="0"/>
              <w:snapToGrid w:val="0"/>
              <w:spacing w:before="36" w:line="216" w:lineRule="auto"/>
              <w:ind w:left="334"/>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5"/>
                <w:kern w:val="0"/>
                <w:sz w:val="20"/>
                <w:szCs w:val="20"/>
                <w:lang w:eastAsia="en-US"/>
                <w14:textFill>
                  <w14:solidFill>
                    <w14:schemeClr w14:val="tx1"/>
                  </w14:solidFill>
                </w14:textFill>
              </w:rPr>
              <w:t>序号</w:t>
            </w:r>
          </w:p>
        </w:tc>
        <w:tc>
          <w:tcPr>
            <w:tcW w:w="3453" w:type="dxa"/>
          </w:tcPr>
          <w:p w14:paraId="48FCA416">
            <w:pPr>
              <w:kinsoku w:val="0"/>
              <w:autoSpaceDE w:val="0"/>
              <w:autoSpaceDN w:val="0"/>
              <w:adjustRightInd w:val="0"/>
              <w:snapToGrid w:val="0"/>
              <w:spacing w:before="36" w:line="216" w:lineRule="auto"/>
              <w:ind w:left="131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环境要素</w:t>
            </w:r>
          </w:p>
        </w:tc>
        <w:tc>
          <w:tcPr>
            <w:tcW w:w="2585" w:type="dxa"/>
          </w:tcPr>
          <w:p w14:paraId="2DC5AC55">
            <w:pPr>
              <w:kinsoku w:val="0"/>
              <w:autoSpaceDE w:val="0"/>
              <w:autoSpaceDN w:val="0"/>
              <w:adjustRightInd w:val="0"/>
              <w:snapToGrid w:val="0"/>
              <w:spacing w:before="36" w:line="216" w:lineRule="auto"/>
              <w:ind w:left="88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敏感程度</w:t>
            </w:r>
          </w:p>
        </w:tc>
        <w:tc>
          <w:tcPr>
            <w:tcW w:w="1946" w:type="dxa"/>
          </w:tcPr>
          <w:p w14:paraId="238554FF">
            <w:pPr>
              <w:kinsoku w:val="0"/>
              <w:autoSpaceDE w:val="0"/>
              <w:autoSpaceDN w:val="0"/>
              <w:adjustRightInd w:val="0"/>
              <w:snapToGrid w:val="0"/>
              <w:spacing w:before="36" w:line="216" w:lineRule="auto"/>
              <w:ind w:left="771"/>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备注</w:t>
            </w:r>
          </w:p>
        </w:tc>
      </w:tr>
      <w:tr w14:paraId="58542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76" w:type="dxa"/>
          </w:tcPr>
          <w:p w14:paraId="7F0A4E27">
            <w:pPr>
              <w:widowControl/>
              <w:kinsoku w:val="0"/>
              <w:autoSpaceDE w:val="0"/>
              <w:autoSpaceDN w:val="0"/>
              <w:adjustRightInd w:val="0"/>
              <w:snapToGrid w:val="0"/>
              <w:spacing w:before="67" w:line="195" w:lineRule="auto"/>
              <w:ind w:left="507"/>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1</w:t>
            </w:r>
          </w:p>
        </w:tc>
        <w:tc>
          <w:tcPr>
            <w:tcW w:w="3453" w:type="dxa"/>
          </w:tcPr>
          <w:p w14:paraId="2089BBDC">
            <w:pPr>
              <w:kinsoku w:val="0"/>
              <w:autoSpaceDE w:val="0"/>
              <w:autoSpaceDN w:val="0"/>
              <w:adjustRightInd w:val="0"/>
              <w:snapToGrid w:val="0"/>
              <w:spacing w:before="30" w:line="217" w:lineRule="auto"/>
              <w:ind w:left="131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6"/>
                <w:kern w:val="0"/>
                <w:sz w:val="20"/>
                <w:szCs w:val="20"/>
                <w:lang w:eastAsia="en-US"/>
                <w14:textFill>
                  <w14:solidFill>
                    <w14:schemeClr w14:val="tx1"/>
                  </w14:solidFill>
                </w14:textFill>
              </w:rPr>
              <w:t>大气环境</w:t>
            </w:r>
          </w:p>
        </w:tc>
        <w:tc>
          <w:tcPr>
            <w:tcW w:w="2585" w:type="dxa"/>
          </w:tcPr>
          <w:p w14:paraId="57172269">
            <w:pPr>
              <w:widowControl/>
              <w:kinsoku w:val="0"/>
              <w:autoSpaceDE w:val="0"/>
              <w:autoSpaceDN w:val="0"/>
              <w:adjustRightInd w:val="0"/>
              <w:snapToGrid w:val="0"/>
              <w:spacing w:before="67" w:line="195" w:lineRule="auto"/>
              <w:ind w:left="1178"/>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E1</w:t>
            </w:r>
          </w:p>
        </w:tc>
        <w:tc>
          <w:tcPr>
            <w:tcW w:w="1946" w:type="dxa"/>
          </w:tcPr>
          <w:p w14:paraId="275714DD">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r>
      <w:tr w14:paraId="28B84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76" w:type="dxa"/>
          </w:tcPr>
          <w:p w14:paraId="757BF5D5">
            <w:pPr>
              <w:widowControl/>
              <w:kinsoku w:val="0"/>
              <w:autoSpaceDE w:val="0"/>
              <w:autoSpaceDN w:val="0"/>
              <w:adjustRightInd w:val="0"/>
              <w:snapToGrid w:val="0"/>
              <w:spacing w:before="69" w:line="195" w:lineRule="auto"/>
              <w:ind w:left="487"/>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2</w:t>
            </w:r>
          </w:p>
        </w:tc>
        <w:tc>
          <w:tcPr>
            <w:tcW w:w="3453" w:type="dxa"/>
          </w:tcPr>
          <w:p w14:paraId="386CBA8D">
            <w:pPr>
              <w:kinsoku w:val="0"/>
              <w:autoSpaceDE w:val="0"/>
              <w:autoSpaceDN w:val="0"/>
              <w:adjustRightInd w:val="0"/>
              <w:snapToGrid w:val="0"/>
              <w:spacing w:before="33" w:line="215" w:lineRule="auto"/>
              <w:ind w:left="120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8"/>
                <w:kern w:val="0"/>
                <w:sz w:val="20"/>
                <w:szCs w:val="20"/>
                <w:lang w:eastAsia="en-US"/>
                <w14:textFill>
                  <w14:solidFill>
                    <w14:schemeClr w14:val="tx1"/>
                  </w14:solidFill>
                </w14:textFill>
              </w:rPr>
              <w:t>地表水环境</w:t>
            </w:r>
          </w:p>
        </w:tc>
        <w:tc>
          <w:tcPr>
            <w:tcW w:w="2585" w:type="dxa"/>
          </w:tcPr>
          <w:p w14:paraId="7FCC3058">
            <w:pPr>
              <w:widowControl/>
              <w:kinsoku w:val="0"/>
              <w:autoSpaceDE w:val="0"/>
              <w:autoSpaceDN w:val="0"/>
              <w:adjustRightInd w:val="0"/>
              <w:snapToGrid w:val="0"/>
              <w:spacing w:before="69" w:line="195" w:lineRule="auto"/>
              <w:ind w:left="1178"/>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kern w:val="0"/>
                <w:sz w:val="20"/>
                <w:szCs w:val="20"/>
                <w14:textFill>
                  <w14:solidFill>
                    <w14:schemeClr w14:val="tx1"/>
                  </w14:solidFill>
                </w14:textFill>
              </w:rPr>
              <w:t>/</w:t>
            </w:r>
          </w:p>
        </w:tc>
        <w:tc>
          <w:tcPr>
            <w:tcW w:w="1946" w:type="dxa"/>
          </w:tcPr>
          <w:p w14:paraId="3499B75F">
            <w:pPr>
              <w:widowControl/>
              <w:kinsoku w:val="0"/>
              <w:autoSpaceDE w:val="0"/>
              <w:autoSpaceDN w:val="0"/>
              <w:adjustRightInd w:val="0"/>
              <w:snapToGrid w:val="0"/>
              <w:jc w:val="left"/>
              <w:textAlignment w:val="baseline"/>
              <w:rPr>
                <w:rFonts w:eastAsia="宋体"/>
                <w:snapToGrid w:val="0"/>
                <w:color w:val="000000" w:themeColor="text1"/>
                <w:kern w:val="0"/>
                <w:szCs w:val="21"/>
                <w14:textFill>
                  <w14:solidFill>
                    <w14:schemeClr w14:val="tx1"/>
                  </w14:solidFill>
                </w14:textFill>
              </w:rPr>
            </w:pPr>
            <w:r>
              <w:rPr>
                <w:rFonts w:eastAsia="宋体"/>
                <w:snapToGrid w:val="0"/>
                <w:color w:val="000000" w:themeColor="text1"/>
                <w:kern w:val="0"/>
                <w:szCs w:val="21"/>
                <w14:textFill>
                  <w14:solidFill>
                    <w14:schemeClr w14:val="tx1"/>
                  </w14:solidFill>
                </w14:textFill>
              </w:rPr>
              <w:t>无污染途径</w:t>
            </w:r>
          </w:p>
        </w:tc>
      </w:tr>
      <w:tr w14:paraId="5B7C5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076" w:type="dxa"/>
          </w:tcPr>
          <w:p w14:paraId="0EB72045">
            <w:pPr>
              <w:widowControl/>
              <w:kinsoku w:val="0"/>
              <w:autoSpaceDE w:val="0"/>
              <w:autoSpaceDN w:val="0"/>
              <w:adjustRightInd w:val="0"/>
              <w:snapToGrid w:val="0"/>
              <w:spacing w:before="71" w:line="195" w:lineRule="auto"/>
              <w:ind w:left="491"/>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3</w:t>
            </w:r>
          </w:p>
        </w:tc>
        <w:tc>
          <w:tcPr>
            <w:tcW w:w="3453" w:type="dxa"/>
          </w:tcPr>
          <w:p w14:paraId="0C0EDBC7">
            <w:pPr>
              <w:kinsoku w:val="0"/>
              <w:autoSpaceDE w:val="0"/>
              <w:autoSpaceDN w:val="0"/>
              <w:adjustRightInd w:val="0"/>
              <w:snapToGrid w:val="0"/>
              <w:spacing w:before="35" w:line="217" w:lineRule="auto"/>
              <w:ind w:left="120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8"/>
                <w:kern w:val="0"/>
                <w:sz w:val="20"/>
                <w:szCs w:val="20"/>
                <w:lang w:eastAsia="en-US"/>
                <w14:textFill>
                  <w14:solidFill>
                    <w14:schemeClr w14:val="tx1"/>
                  </w14:solidFill>
                </w14:textFill>
              </w:rPr>
              <w:t>地下水环境</w:t>
            </w:r>
          </w:p>
        </w:tc>
        <w:tc>
          <w:tcPr>
            <w:tcW w:w="2585" w:type="dxa"/>
          </w:tcPr>
          <w:p w14:paraId="3566A04E">
            <w:pPr>
              <w:widowControl/>
              <w:kinsoku w:val="0"/>
              <w:autoSpaceDE w:val="0"/>
              <w:autoSpaceDN w:val="0"/>
              <w:adjustRightInd w:val="0"/>
              <w:snapToGrid w:val="0"/>
              <w:spacing w:before="71" w:line="195" w:lineRule="auto"/>
              <w:ind w:left="1178"/>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E3</w:t>
            </w:r>
          </w:p>
        </w:tc>
        <w:tc>
          <w:tcPr>
            <w:tcW w:w="1946" w:type="dxa"/>
          </w:tcPr>
          <w:p w14:paraId="24D2B51C">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r>
    </w:tbl>
    <w:p w14:paraId="1E73C66D">
      <w:pPr>
        <w:widowControl/>
        <w:kinsoku w:val="0"/>
        <w:autoSpaceDE w:val="0"/>
        <w:autoSpaceDN w:val="0"/>
        <w:adjustRightInd w:val="0"/>
        <w:snapToGrid w:val="0"/>
        <w:jc w:val="left"/>
        <w:textAlignment w:val="baseline"/>
        <w:rPr>
          <w:rFonts w:eastAsia="宋体"/>
          <w:b/>
          <w:bCs/>
          <w:snapToGrid w:val="0"/>
          <w:color w:val="000000" w:themeColor="text1"/>
          <w:spacing w:val="-2"/>
          <w:kern w:val="0"/>
          <w:sz w:val="24"/>
          <w:lang w:eastAsia="en-US"/>
          <w14:textFill>
            <w14:solidFill>
              <w14:schemeClr w14:val="tx1"/>
            </w14:solidFill>
          </w14:textFill>
        </w:rPr>
      </w:pPr>
    </w:p>
    <w:p w14:paraId="647B0209">
      <w:pPr>
        <w:widowControl/>
        <w:kinsoku w:val="0"/>
        <w:autoSpaceDE w:val="0"/>
        <w:autoSpaceDN w:val="0"/>
        <w:adjustRightInd w:val="0"/>
        <w:snapToGrid w:val="0"/>
        <w:jc w:val="left"/>
        <w:textAlignment w:val="baseline"/>
        <w:rPr>
          <w:rFonts w:eastAsia="宋体"/>
          <w:b/>
          <w:bCs/>
          <w:snapToGrid w:val="0"/>
          <w:color w:val="000000" w:themeColor="text1"/>
          <w:spacing w:val="-2"/>
          <w:kern w:val="0"/>
          <w:sz w:val="24"/>
          <w:lang w:eastAsia="en-US"/>
          <w14:textFill>
            <w14:solidFill>
              <w14:schemeClr w14:val="tx1"/>
            </w14:solidFill>
          </w14:textFill>
        </w:rPr>
      </w:pPr>
    </w:p>
    <w:p w14:paraId="1F5B9B30">
      <w:pPr>
        <w:widowControl/>
        <w:kinsoku w:val="0"/>
        <w:autoSpaceDE w:val="0"/>
        <w:autoSpaceDN w:val="0"/>
        <w:adjustRightInd w:val="0"/>
        <w:snapToGrid w:val="0"/>
        <w:spacing w:before="155" w:line="219" w:lineRule="auto"/>
        <w:ind w:left="600"/>
        <w:jc w:val="left"/>
        <w:textAlignment w:val="baseline"/>
        <w:outlineLvl w:val="1"/>
        <w:rPr>
          <w:rFonts w:eastAsia="宋体"/>
          <w:snapToGrid w:val="0"/>
          <w:color w:val="000000" w:themeColor="text1"/>
          <w:kern w:val="0"/>
          <w:sz w:val="24"/>
          <w14:textFill>
            <w14:solidFill>
              <w14:schemeClr w14:val="tx1"/>
            </w14:solidFill>
          </w14:textFill>
        </w:rPr>
      </w:pPr>
      <w:r>
        <w:rPr>
          <w:rFonts w:eastAsia="宋体"/>
          <w:b/>
          <w:bCs/>
          <w:snapToGrid w:val="0"/>
          <w:color w:val="000000" w:themeColor="text1"/>
          <w:spacing w:val="-2"/>
          <w:kern w:val="0"/>
          <w:sz w:val="24"/>
          <w14:textFill>
            <w14:solidFill>
              <w14:schemeClr w14:val="tx1"/>
            </w14:solidFill>
          </w14:textFill>
        </w:rPr>
        <w:t>6.4建设项目环境风险潜势判断</w:t>
      </w:r>
    </w:p>
    <w:p w14:paraId="5A0F1151">
      <w:pPr>
        <w:pStyle w:val="186"/>
        <w:ind w:firstLine="460"/>
        <w:rPr>
          <w:rFonts w:cs="Times New Roman"/>
          <w:color w:val="000000" w:themeColor="text1"/>
          <w:kern w:val="0"/>
          <w:szCs w:val="24"/>
          <w14:textFill>
            <w14:solidFill>
              <w14:schemeClr w14:val="tx1"/>
            </w14:solidFill>
          </w14:textFill>
        </w:rPr>
      </w:pPr>
      <w:r>
        <w:rPr>
          <w:rFonts w:cs="Times New Roman"/>
          <w:color w:val="000000" w:themeColor="text1"/>
          <w:spacing w:val="-5"/>
          <w:kern w:val="0"/>
          <w:szCs w:val="24"/>
          <w14:textFill>
            <w14:solidFill>
              <w14:schemeClr w14:val="tx1"/>
            </w14:solidFill>
          </w14:textFill>
        </w:rPr>
        <w:t>风险潜势划分为Ⅰ、Ⅱ、Ⅲ、Ⅳ/Ⅳ+级。</w:t>
      </w:r>
    </w:p>
    <w:p w14:paraId="63CEC4E7">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根据建设项目涉及的物质和工艺系统的危险性及其所</w:t>
      </w:r>
      <w:r>
        <w:rPr>
          <w:rFonts w:cs="Times New Roman"/>
          <w:color w:val="000000" w:themeColor="text1"/>
          <w:spacing w:val="-2"/>
          <w:kern w:val="0"/>
          <w:szCs w:val="24"/>
          <w14:textFill>
            <w14:solidFill>
              <w14:schemeClr w14:val="tx1"/>
            </w14:solidFill>
          </w14:textFill>
        </w:rPr>
        <w:t>在地的环境敏感程度，结合</w:t>
      </w:r>
      <w:r>
        <w:rPr>
          <w:rFonts w:cs="Times New Roman"/>
          <w:color w:val="000000" w:themeColor="text1"/>
          <w:spacing w:val="-1"/>
          <w:kern w:val="0"/>
          <w:szCs w:val="24"/>
          <w14:textFill>
            <w14:solidFill>
              <w14:schemeClr w14:val="tx1"/>
            </w14:solidFill>
          </w14:textFill>
        </w:rPr>
        <w:t>事故下的环境影响途径对建设项目潜在的环境危害程度进行概</w:t>
      </w:r>
      <w:r>
        <w:rPr>
          <w:rFonts w:cs="Times New Roman"/>
          <w:color w:val="000000" w:themeColor="text1"/>
          <w:spacing w:val="-2"/>
          <w:kern w:val="0"/>
          <w:szCs w:val="24"/>
          <w14:textFill>
            <w14:solidFill>
              <w14:schemeClr w14:val="tx1"/>
            </w14:solidFill>
          </w14:textFill>
        </w:rPr>
        <w:t>化分析，按照下表确定环境风险潜势。</w:t>
      </w:r>
    </w:p>
    <w:p w14:paraId="422812E3">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建设项目环境风险潜势划分</w:t>
      </w:r>
    </w:p>
    <w:tbl>
      <w:tblPr>
        <w:tblStyle w:val="171"/>
        <w:tblW w:w="8652" w:type="dxa"/>
        <w:tblInd w:w="2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69"/>
        <w:gridCol w:w="1603"/>
        <w:gridCol w:w="1558"/>
        <w:gridCol w:w="1559"/>
        <w:gridCol w:w="1563"/>
      </w:tblGrid>
      <w:tr w14:paraId="1EDF5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369" w:type="dxa"/>
            <w:vMerge w:val="restart"/>
            <w:tcBorders>
              <w:bottom w:val="nil"/>
            </w:tcBorders>
          </w:tcPr>
          <w:p w14:paraId="3D402B73">
            <w:pPr>
              <w:kinsoku w:val="0"/>
              <w:autoSpaceDE w:val="0"/>
              <w:autoSpaceDN w:val="0"/>
              <w:adjustRightInd w:val="0"/>
              <w:snapToGrid w:val="0"/>
              <w:spacing w:before="176" w:line="228" w:lineRule="auto"/>
              <w:ind w:left="469"/>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环境敏感程度E</w:t>
            </w:r>
          </w:p>
        </w:tc>
        <w:tc>
          <w:tcPr>
            <w:tcW w:w="6283" w:type="dxa"/>
            <w:gridSpan w:val="4"/>
          </w:tcPr>
          <w:p w14:paraId="08C340C0">
            <w:pPr>
              <w:kinsoku w:val="0"/>
              <w:autoSpaceDE w:val="0"/>
              <w:autoSpaceDN w:val="0"/>
              <w:adjustRightInd w:val="0"/>
              <w:snapToGrid w:val="0"/>
              <w:spacing w:before="34" w:line="219" w:lineRule="auto"/>
              <w:ind w:left="1618"/>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8"/>
                <w:kern w:val="0"/>
                <w:sz w:val="20"/>
                <w:szCs w:val="20"/>
                <w14:textFill>
                  <w14:solidFill>
                    <w14:schemeClr w14:val="tx1"/>
                  </w14:solidFill>
                </w14:textFill>
              </w:rPr>
              <w:t>危险物质及工艺系统危险性（P）</w:t>
            </w:r>
          </w:p>
        </w:tc>
      </w:tr>
      <w:tr w14:paraId="6ADC3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369" w:type="dxa"/>
            <w:vMerge w:val="continue"/>
            <w:tcBorders>
              <w:top w:val="nil"/>
            </w:tcBorders>
          </w:tcPr>
          <w:p w14:paraId="691A7D4D">
            <w:pPr>
              <w:widowControl/>
              <w:kinsoku w:val="0"/>
              <w:autoSpaceDE w:val="0"/>
              <w:autoSpaceDN w:val="0"/>
              <w:adjustRightInd w:val="0"/>
              <w:snapToGrid w:val="0"/>
              <w:jc w:val="left"/>
              <w:textAlignment w:val="baseline"/>
              <w:rPr>
                <w:rFonts w:eastAsia="宋体"/>
                <w:snapToGrid w:val="0"/>
                <w:color w:val="000000" w:themeColor="text1"/>
                <w:kern w:val="0"/>
                <w:szCs w:val="21"/>
                <w14:textFill>
                  <w14:solidFill>
                    <w14:schemeClr w14:val="tx1"/>
                  </w14:solidFill>
                </w14:textFill>
              </w:rPr>
            </w:pPr>
          </w:p>
        </w:tc>
        <w:tc>
          <w:tcPr>
            <w:tcW w:w="1603" w:type="dxa"/>
          </w:tcPr>
          <w:p w14:paraId="7A593ACB">
            <w:pPr>
              <w:kinsoku w:val="0"/>
              <w:autoSpaceDE w:val="0"/>
              <w:autoSpaceDN w:val="0"/>
              <w:adjustRightInd w:val="0"/>
              <w:snapToGrid w:val="0"/>
              <w:spacing w:before="31" w:line="216" w:lineRule="auto"/>
              <w:ind w:left="11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5"/>
                <w:kern w:val="0"/>
                <w:sz w:val="20"/>
                <w:szCs w:val="20"/>
                <w:lang w:eastAsia="en-US"/>
                <w14:textFill>
                  <w14:solidFill>
                    <w14:schemeClr w14:val="tx1"/>
                  </w14:solidFill>
                </w14:textFill>
              </w:rPr>
              <w:t>极高危害（P1）</w:t>
            </w:r>
          </w:p>
        </w:tc>
        <w:tc>
          <w:tcPr>
            <w:tcW w:w="1558" w:type="dxa"/>
          </w:tcPr>
          <w:p w14:paraId="780694B9">
            <w:pPr>
              <w:kinsoku w:val="0"/>
              <w:autoSpaceDE w:val="0"/>
              <w:autoSpaceDN w:val="0"/>
              <w:adjustRightInd w:val="0"/>
              <w:snapToGrid w:val="0"/>
              <w:spacing w:before="31" w:line="216" w:lineRule="auto"/>
              <w:ind w:right="12"/>
              <w:jc w:val="righ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1"/>
                <w:kern w:val="0"/>
                <w:sz w:val="20"/>
                <w:szCs w:val="20"/>
                <w:lang w:eastAsia="en-US"/>
                <w14:textFill>
                  <w14:solidFill>
                    <w14:schemeClr w14:val="tx1"/>
                  </w14:solidFill>
                </w14:textFill>
              </w:rPr>
              <w:t>高度危害（P2）</w:t>
            </w:r>
          </w:p>
        </w:tc>
        <w:tc>
          <w:tcPr>
            <w:tcW w:w="1559" w:type="dxa"/>
          </w:tcPr>
          <w:p w14:paraId="2938D79D">
            <w:pPr>
              <w:kinsoku w:val="0"/>
              <w:autoSpaceDE w:val="0"/>
              <w:autoSpaceDN w:val="0"/>
              <w:adjustRightInd w:val="0"/>
              <w:snapToGrid w:val="0"/>
              <w:spacing w:before="31" w:line="216" w:lineRule="auto"/>
              <w:ind w:right="11"/>
              <w:jc w:val="righ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1"/>
                <w:kern w:val="0"/>
                <w:sz w:val="20"/>
                <w:szCs w:val="20"/>
                <w:lang w:eastAsia="en-US"/>
                <w14:textFill>
                  <w14:solidFill>
                    <w14:schemeClr w14:val="tx1"/>
                  </w14:solidFill>
                </w14:textFill>
              </w:rPr>
              <w:t>中度危害（P3）</w:t>
            </w:r>
          </w:p>
        </w:tc>
        <w:tc>
          <w:tcPr>
            <w:tcW w:w="1563" w:type="dxa"/>
          </w:tcPr>
          <w:p w14:paraId="612953E3">
            <w:pPr>
              <w:kinsoku w:val="0"/>
              <w:autoSpaceDE w:val="0"/>
              <w:autoSpaceDN w:val="0"/>
              <w:adjustRightInd w:val="0"/>
              <w:snapToGrid w:val="0"/>
              <w:spacing w:before="31" w:line="216" w:lineRule="auto"/>
              <w:ind w:right="14"/>
              <w:jc w:val="righ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轻度危害（P4）</w:t>
            </w:r>
          </w:p>
        </w:tc>
      </w:tr>
      <w:tr w14:paraId="3B7D7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2369" w:type="dxa"/>
          </w:tcPr>
          <w:p w14:paraId="54499A48">
            <w:pPr>
              <w:kinsoku w:val="0"/>
              <w:autoSpaceDE w:val="0"/>
              <w:autoSpaceDN w:val="0"/>
              <w:adjustRightInd w:val="0"/>
              <w:snapToGrid w:val="0"/>
              <w:spacing w:before="59" w:line="228" w:lineRule="auto"/>
              <w:ind w:left="128"/>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7"/>
                <w:kern w:val="0"/>
                <w:sz w:val="20"/>
                <w:szCs w:val="20"/>
                <w14:textFill>
                  <w14:solidFill>
                    <w14:schemeClr w14:val="tx1"/>
                  </w14:solidFill>
                </w14:textFill>
              </w:rPr>
              <w:t>环境高度敏感区（E1）</w:t>
            </w:r>
          </w:p>
        </w:tc>
        <w:tc>
          <w:tcPr>
            <w:tcW w:w="1603" w:type="dxa"/>
          </w:tcPr>
          <w:p w14:paraId="7B92DBD4">
            <w:pPr>
              <w:widowControl/>
              <w:kinsoku w:val="0"/>
              <w:autoSpaceDE w:val="0"/>
              <w:autoSpaceDN w:val="0"/>
              <w:adjustRightInd w:val="0"/>
              <w:snapToGrid w:val="0"/>
              <w:spacing w:before="87" w:line="204" w:lineRule="auto"/>
              <w:ind w:left="655"/>
              <w:jc w:val="left"/>
              <w:textAlignment w:val="baseline"/>
              <w:rPr>
                <w:rFonts w:eastAsia="宋体"/>
                <w:snapToGrid w:val="0"/>
                <w:color w:val="000000" w:themeColor="text1"/>
                <w:kern w:val="0"/>
                <w:sz w:val="13"/>
                <w:szCs w:val="13"/>
                <w:lang w:eastAsia="en-US"/>
                <w14:textFill>
                  <w14:solidFill>
                    <w14:schemeClr w14:val="tx1"/>
                  </w14:solidFill>
                </w14:textFill>
              </w:rPr>
            </w:pPr>
            <w:r>
              <w:rPr>
                <w:rFonts w:eastAsia="宋体"/>
                <w:snapToGrid w:val="0"/>
                <w:color w:val="000000" w:themeColor="text1"/>
                <w:spacing w:val="3"/>
                <w:kern w:val="0"/>
                <w:position w:val="-1"/>
                <w:sz w:val="20"/>
                <w:szCs w:val="20"/>
                <w:lang w:eastAsia="en-US"/>
                <w14:textFill>
                  <w14:solidFill>
                    <w14:schemeClr w14:val="tx1"/>
                  </w14:solidFill>
                </w14:textFill>
              </w:rPr>
              <w:t>Ⅳ</w:t>
            </w:r>
            <w:r>
              <w:rPr>
                <w:rFonts w:eastAsia="宋体"/>
                <w:snapToGrid w:val="0"/>
                <w:color w:val="000000" w:themeColor="text1"/>
                <w:spacing w:val="3"/>
                <w:kern w:val="0"/>
                <w:position w:val="5"/>
                <w:sz w:val="13"/>
                <w:szCs w:val="13"/>
                <w:lang w:eastAsia="en-US"/>
                <w14:textFill>
                  <w14:solidFill>
                    <w14:schemeClr w14:val="tx1"/>
                  </w14:solidFill>
                </w14:textFill>
              </w:rPr>
              <w:t>+</w:t>
            </w:r>
          </w:p>
        </w:tc>
        <w:tc>
          <w:tcPr>
            <w:tcW w:w="1558" w:type="dxa"/>
          </w:tcPr>
          <w:p w14:paraId="7FE7D08E">
            <w:pPr>
              <w:widowControl/>
              <w:kinsoku w:val="0"/>
              <w:autoSpaceDE w:val="0"/>
              <w:autoSpaceDN w:val="0"/>
              <w:adjustRightInd w:val="0"/>
              <w:snapToGrid w:val="0"/>
              <w:spacing w:before="98" w:line="192" w:lineRule="auto"/>
              <w:ind w:left="67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4"/>
                <w:kern w:val="0"/>
                <w:sz w:val="20"/>
                <w:szCs w:val="20"/>
                <w:lang w:eastAsia="en-US"/>
                <w14:textFill>
                  <w14:solidFill>
                    <w14:schemeClr w14:val="tx1"/>
                  </w14:solidFill>
                </w14:textFill>
              </w:rPr>
              <w:t>Ⅳ</w:t>
            </w:r>
          </w:p>
        </w:tc>
        <w:tc>
          <w:tcPr>
            <w:tcW w:w="1559" w:type="dxa"/>
          </w:tcPr>
          <w:p w14:paraId="034808F3">
            <w:pPr>
              <w:widowControl/>
              <w:kinsoku w:val="0"/>
              <w:autoSpaceDE w:val="0"/>
              <w:autoSpaceDN w:val="0"/>
              <w:adjustRightInd w:val="0"/>
              <w:snapToGrid w:val="0"/>
              <w:spacing w:before="98" w:line="192" w:lineRule="auto"/>
              <w:ind w:left="68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Ⅲ</w:t>
            </w:r>
          </w:p>
        </w:tc>
        <w:tc>
          <w:tcPr>
            <w:tcW w:w="1563" w:type="dxa"/>
          </w:tcPr>
          <w:p w14:paraId="6921F9AC">
            <w:pPr>
              <w:widowControl/>
              <w:kinsoku w:val="0"/>
              <w:autoSpaceDE w:val="0"/>
              <w:autoSpaceDN w:val="0"/>
              <w:adjustRightInd w:val="0"/>
              <w:snapToGrid w:val="0"/>
              <w:spacing w:before="98" w:line="192" w:lineRule="auto"/>
              <w:ind w:left="68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Ⅲ</w:t>
            </w:r>
          </w:p>
        </w:tc>
      </w:tr>
      <w:tr w14:paraId="7247B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369" w:type="dxa"/>
          </w:tcPr>
          <w:p w14:paraId="2BBB4F13">
            <w:pPr>
              <w:kinsoku w:val="0"/>
              <w:autoSpaceDE w:val="0"/>
              <w:autoSpaceDN w:val="0"/>
              <w:adjustRightInd w:val="0"/>
              <w:snapToGrid w:val="0"/>
              <w:spacing w:before="33" w:line="216" w:lineRule="auto"/>
              <w:ind w:left="128"/>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7"/>
                <w:kern w:val="0"/>
                <w:sz w:val="20"/>
                <w:szCs w:val="20"/>
                <w14:textFill>
                  <w14:solidFill>
                    <w14:schemeClr w14:val="tx1"/>
                  </w14:solidFill>
                </w14:textFill>
              </w:rPr>
              <w:t>环境中度敏感区（E2）</w:t>
            </w:r>
          </w:p>
        </w:tc>
        <w:tc>
          <w:tcPr>
            <w:tcW w:w="1603" w:type="dxa"/>
          </w:tcPr>
          <w:p w14:paraId="0D9ABD49">
            <w:pPr>
              <w:widowControl/>
              <w:kinsoku w:val="0"/>
              <w:autoSpaceDE w:val="0"/>
              <w:autoSpaceDN w:val="0"/>
              <w:adjustRightInd w:val="0"/>
              <w:snapToGrid w:val="0"/>
              <w:spacing w:before="71" w:line="192" w:lineRule="auto"/>
              <w:ind w:left="691"/>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4"/>
                <w:kern w:val="0"/>
                <w:sz w:val="20"/>
                <w:szCs w:val="20"/>
                <w:lang w:eastAsia="en-US"/>
                <w14:textFill>
                  <w14:solidFill>
                    <w14:schemeClr w14:val="tx1"/>
                  </w14:solidFill>
                </w14:textFill>
              </w:rPr>
              <w:t>Ⅳ</w:t>
            </w:r>
          </w:p>
        </w:tc>
        <w:tc>
          <w:tcPr>
            <w:tcW w:w="1558" w:type="dxa"/>
          </w:tcPr>
          <w:p w14:paraId="3E849700">
            <w:pPr>
              <w:widowControl/>
              <w:kinsoku w:val="0"/>
              <w:autoSpaceDE w:val="0"/>
              <w:autoSpaceDN w:val="0"/>
              <w:adjustRightInd w:val="0"/>
              <w:snapToGrid w:val="0"/>
              <w:spacing w:before="72" w:line="192" w:lineRule="auto"/>
              <w:ind w:left="68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Ⅲ</w:t>
            </w:r>
          </w:p>
        </w:tc>
        <w:tc>
          <w:tcPr>
            <w:tcW w:w="1559" w:type="dxa"/>
          </w:tcPr>
          <w:p w14:paraId="1C9DE2E8">
            <w:pPr>
              <w:widowControl/>
              <w:kinsoku w:val="0"/>
              <w:autoSpaceDE w:val="0"/>
              <w:autoSpaceDN w:val="0"/>
              <w:adjustRightInd w:val="0"/>
              <w:snapToGrid w:val="0"/>
              <w:spacing w:before="72" w:line="192" w:lineRule="auto"/>
              <w:ind w:left="68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Ⅲ</w:t>
            </w:r>
          </w:p>
        </w:tc>
        <w:tc>
          <w:tcPr>
            <w:tcW w:w="1563" w:type="dxa"/>
          </w:tcPr>
          <w:p w14:paraId="5F4150EA">
            <w:pPr>
              <w:widowControl/>
              <w:kinsoku w:val="0"/>
              <w:autoSpaceDE w:val="0"/>
              <w:autoSpaceDN w:val="0"/>
              <w:adjustRightInd w:val="0"/>
              <w:snapToGrid w:val="0"/>
              <w:spacing w:before="72" w:line="192" w:lineRule="auto"/>
              <w:ind w:left="71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Ⅱ</w:t>
            </w:r>
          </w:p>
        </w:tc>
      </w:tr>
      <w:tr w14:paraId="0159A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2369" w:type="dxa"/>
          </w:tcPr>
          <w:p w14:paraId="688C0F55">
            <w:pPr>
              <w:kinsoku w:val="0"/>
              <w:autoSpaceDE w:val="0"/>
              <w:autoSpaceDN w:val="0"/>
              <w:adjustRightInd w:val="0"/>
              <w:snapToGrid w:val="0"/>
              <w:spacing w:before="62" w:line="228" w:lineRule="auto"/>
              <w:ind w:left="128"/>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7"/>
                <w:kern w:val="0"/>
                <w:sz w:val="20"/>
                <w:szCs w:val="20"/>
                <w14:textFill>
                  <w14:solidFill>
                    <w14:schemeClr w14:val="tx1"/>
                  </w14:solidFill>
                </w14:textFill>
              </w:rPr>
              <w:t>环境低度敏感区（E3）</w:t>
            </w:r>
          </w:p>
        </w:tc>
        <w:tc>
          <w:tcPr>
            <w:tcW w:w="1603" w:type="dxa"/>
          </w:tcPr>
          <w:p w14:paraId="40395E63">
            <w:pPr>
              <w:widowControl/>
              <w:kinsoku w:val="0"/>
              <w:autoSpaceDE w:val="0"/>
              <w:autoSpaceDN w:val="0"/>
              <w:adjustRightInd w:val="0"/>
              <w:snapToGrid w:val="0"/>
              <w:spacing w:before="102" w:line="192" w:lineRule="auto"/>
              <w:ind w:left="70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Ⅲ</w:t>
            </w:r>
          </w:p>
        </w:tc>
        <w:tc>
          <w:tcPr>
            <w:tcW w:w="1558" w:type="dxa"/>
          </w:tcPr>
          <w:p w14:paraId="406C8489">
            <w:pPr>
              <w:widowControl/>
              <w:kinsoku w:val="0"/>
              <w:autoSpaceDE w:val="0"/>
              <w:autoSpaceDN w:val="0"/>
              <w:adjustRightInd w:val="0"/>
              <w:snapToGrid w:val="0"/>
              <w:spacing w:before="102" w:line="192" w:lineRule="auto"/>
              <w:ind w:left="68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Ⅲ</w:t>
            </w:r>
          </w:p>
        </w:tc>
        <w:tc>
          <w:tcPr>
            <w:tcW w:w="1559" w:type="dxa"/>
          </w:tcPr>
          <w:p w14:paraId="2728A156">
            <w:pPr>
              <w:widowControl/>
              <w:kinsoku w:val="0"/>
              <w:autoSpaceDE w:val="0"/>
              <w:autoSpaceDN w:val="0"/>
              <w:adjustRightInd w:val="0"/>
              <w:snapToGrid w:val="0"/>
              <w:spacing w:before="102" w:line="192" w:lineRule="auto"/>
              <w:ind w:left="71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Ⅱ</w:t>
            </w:r>
          </w:p>
        </w:tc>
        <w:tc>
          <w:tcPr>
            <w:tcW w:w="1563" w:type="dxa"/>
          </w:tcPr>
          <w:p w14:paraId="077A9EE7">
            <w:pPr>
              <w:widowControl/>
              <w:kinsoku w:val="0"/>
              <w:autoSpaceDE w:val="0"/>
              <w:autoSpaceDN w:val="0"/>
              <w:adjustRightInd w:val="0"/>
              <w:snapToGrid w:val="0"/>
              <w:spacing w:before="102" w:line="192" w:lineRule="auto"/>
              <w:ind w:left="747"/>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Ⅰ</w:t>
            </w:r>
          </w:p>
        </w:tc>
      </w:tr>
      <w:tr w14:paraId="4AFCE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652" w:type="dxa"/>
            <w:gridSpan w:val="5"/>
          </w:tcPr>
          <w:p w14:paraId="4382D6C9">
            <w:pPr>
              <w:kinsoku w:val="0"/>
              <w:autoSpaceDE w:val="0"/>
              <w:autoSpaceDN w:val="0"/>
              <w:adjustRightInd w:val="0"/>
              <w:snapToGrid w:val="0"/>
              <w:spacing w:before="34" w:line="218" w:lineRule="auto"/>
              <w:ind w:left="3238"/>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8"/>
                <w:kern w:val="0"/>
                <w:sz w:val="20"/>
                <w:szCs w:val="20"/>
                <w14:textFill>
                  <w14:solidFill>
                    <w14:schemeClr w14:val="tx1"/>
                  </w14:solidFill>
                </w14:textFill>
              </w:rPr>
              <w:t>注：Ⅳ</w:t>
            </w:r>
            <w:r>
              <w:rPr>
                <w:rFonts w:eastAsia="宋体"/>
                <w:snapToGrid w:val="0"/>
                <w:color w:val="000000" w:themeColor="text1"/>
                <w:spacing w:val="8"/>
                <w:kern w:val="0"/>
                <w:position w:val="6"/>
                <w:sz w:val="13"/>
                <w:szCs w:val="13"/>
                <w14:textFill>
                  <w14:solidFill>
                    <w14:schemeClr w14:val="tx1"/>
                  </w14:solidFill>
                </w14:textFill>
              </w:rPr>
              <w:t>+</w:t>
            </w:r>
            <w:r>
              <w:rPr>
                <w:rFonts w:eastAsia="宋体"/>
                <w:snapToGrid w:val="0"/>
                <w:color w:val="000000" w:themeColor="text1"/>
                <w:spacing w:val="8"/>
                <w:kern w:val="0"/>
                <w:sz w:val="20"/>
                <w:szCs w:val="20"/>
                <w14:textFill>
                  <w14:solidFill>
                    <w14:schemeClr w14:val="tx1"/>
                  </w14:solidFill>
                </w14:textFill>
              </w:rPr>
              <w:t>为极高环境风险</w:t>
            </w:r>
          </w:p>
        </w:tc>
      </w:tr>
    </w:tbl>
    <w:p w14:paraId="7F9C037F">
      <w:pPr>
        <w:pStyle w:val="186"/>
        <w:ind w:firstLine="496"/>
        <w:rPr>
          <w:rFonts w:cs="Times New Roman"/>
          <w:color w:val="000000" w:themeColor="text1"/>
          <w:kern w:val="0"/>
          <w:szCs w:val="24"/>
          <w14:textFill>
            <w14:solidFill>
              <w14:schemeClr w14:val="tx1"/>
            </w14:solidFill>
          </w14:textFill>
        </w:rPr>
      </w:pPr>
      <w:r>
        <w:rPr>
          <w:rFonts w:cs="Times New Roman"/>
          <w:color w:val="000000" w:themeColor="text1"/>
          <w:spacing w:val="4"/>
          <w:kern w:val="0"/>
          <w:szCs w:val="24"/>
          <w14:textFill>
            <w14:solidFill>
              <w14:schemeClr w14:val="tx1"/>
            </w14:solidFill>
          </w14:textFill>
        </w:rPr>
        <w:t>根据危险物质及工艺系统危险性等级为P4，由各环境要素环境敏感程度等级可</w:t>
      </w:r>
      <w:r>
        <w:rPr>
          <w:rFonts w:cs="Times New Roman"/>
          <w:color w:val="000000" w:themeColor="text1"/>
          <w:spacing w:val="-4"/>
          <w:kern w:val="0"/>
          <w:szCs w:val="24"/>
          <w14:textFill>
            <w14:solidFill>
              <w14:schemeClr w14:val="tx1"/>
            </w14:solidFill>
          </w14:textFill>
        </w:rPr>
        <w:t>知，项目大气环境风险潜势为“Ⅲ”；地表水环境风险潜势为无；地下水环境风险潜势</w:t>
      </w:r>
      <w:r>
        <w:rPr>
          <w:rFonts w:cs="Times New Roman"/>
          <w:color w:val="000000" w:themeColor="text1"/>
          <w:spacing w:val="-2"/>
          <w:kern w:val="0"/>
          <w:szCs w:val="24"/>
          <w14:textFill>
            <w14:solidFill>
              <w14:schemeClr w14:val="tx1"/>
            </w14:solidFill>
          </w14:textFill>
        </w:rPr>
        <w:t>为“</w:t>
      </w:r>
      <w:r>
        <w:rPr>
          <w:rFonts w:cs="Times New Roman"/>
          <w:color w:val="000000" w:themeColor="text1"/>
          <w:kern w:val="0"/>
          <w:sz w:val="20"/>
          <w:szCs w:val="20"/>
          <w14:textFill>
            <w14:solidFill>
              <w14:schemeClr w14:val="tx1"/>
            </w14:solidFill>
          </w14:textFill>
        </w:rPr>
        <w:t>Ⅰ</w:t>
      </w:r>
      <w:r>
        <w:rPr>
          <w:rFonts w:cs="Times New Roman"/>
          <w:color w:val="000000" w:themeColor="text1"/>
          <w:spacing w:val="-2"/>
          <w:kern w:val="0"/>
          <w:szCs w:val="24"/>
          <w14:textFill>
            <w14:solidFill>
              <w14:schemeClr w14:val="tx1"/>
            </w14:solidFill>
          </w14:textFill>
        </w:rPr>
        <w:t>”。</w:t>
      </w:r>
    </w:p>
    <w:p w14:paraId="70BF9523">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6.5评价等级</w:t>
      </w:r>
    </w:p>
    <w:p w14:paraId="2AD3B354">
      <w:pPr>
        <w:pStyle w:val="186"/>
        <w:ind w:firstLine="468"/>
        <w:rPr>
          <w:rFonts w:cs="Times New Roman"/>
          <w:color w:val="000000" w:themeColor="text1"/>
          <w:kern w:val="0"/>
          <w:szCs w:val="24"/>
          <w:lang w:eastAsia="en-US"/>
          <w14:textFill>
            <w14:solidFill>
              <w14:schemeClr w14:val="tx1"/>
            </w14:solidFill>
          </w14:textFill>
        </w:rPr>
      </w:pPr>
      <w:r>
        <w:rPr>
          <w:rFonts w:cs="Times New Roman"/>
          <w:color w:val="000000" w:themeColor="text1"/>
          <w:spacing w:val="-3"/>
          <w:kern w:val="0"/>
          <w:szCs w:val="24"/>
          <w14:textFill>
            <w14:solidFill>
              <w14:schemeClr w14:val="tx1"/>
            </w14:solidFill>
          </w14:textFill>
        </w:rPr>
        <w:t>根据《建设项目环境风险评价技术导则》（HJ169-2018）的规定，按照</w:t>
      </w:r>
      <w:r>
        <w:rPr>
          <w:rFonts w:cs="Times New Roman"/>
          <w:color w:val="000000" w:themeColor="text1"/>
          <w:spacing w:val="-4"/>
          <w:kern w:val="0"/>
          <w:szCs w:val="24"/>
          <w14:textFill>
            <w14:solidFill>
              <w14:schemeClr w14:val="tx1"/>
            </w14:solidFill>
          </w14:textFill>
        </w:rPr>
        <w:t>评价项目</w:t>
      </w:r>
      <w:r>
        <w:rPr>
          <w:rFonts w:cs="Times New Roman"/>
          <w:color w:val="000000" w:themeColor="text1"/>
          <w:spacing w:val="-2"/>
          <w:kern w:val="0"/>
          <w:szCs w:val="24"/>
          <w14:textFill>
            <w14:solidFill>
              <w14:schemeClr w14:val="tx1"/>
            </w14:solidFill>
          </w14:textFill>
        </w:rPr>
        <w:t>的物质危险性和功能单元重大危险源判定结果，以及环境敏感程度等因素，将环境风</w:t>
      </w:r>
      <w:r>
        <w:rPr>
          <w:rFonts w:cs="Times New Roman"/>
          <w:color w:val="000000" w:themeColor="text1"/>
          <w:spacing w:val="-1"/>
          <w:kern w:val="0"/>
          <w:szCs w:val="24"/>
          <w14:textFill>
            <w14:solidFill>
              <w14:schemeClr w14:val="tx1"/>
            </w14:solidFill>
          </w14:textFill>
        </w:rPr>
        <w:t>险评价工作划分为一、二、三级、简要分析。</w:t>
      </w:r>
      <w:r>
        <w:rPr>
          <w:rFonts w:cs="Times New Roman"/>
          <w:color w:val="000000" w:themeColor="text1"/>
          <w:spacing w:val="-1"/>
          <w:kern w:val="0"/>
          <w:szCs w:val="24"/>
          <w:lang w:eastAsia="en-US"/>
          <w14:textFill>
            <w14:solidFill>
              <w14:schemeClr w14:val="tx1"/>
            </w14:solidFill>
          </w14:textFill>
        </w:rPr>
        <w:t>评价工作级别，按下表。</w:t>
      </w:r>
    </w:p>
    <w:p w14:paraId="104C9D16">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评价工作等级划分</w:t>
      </w:r>
    </w:p>
    <w:tbl>
      <w:tblPr>
        <w:tblStyle w:val="171"/>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1"/>
        <w:gridCol w:w="1824"/>
        <w:gridCol w:w="1807"/>
        <w:gridCol w:w="1807"/>
        <w:gridCol w:w="1815"/>
      </w:tblGrid>
      <w:tr w14:paraId="1BB1B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811" w:type="dxa"/>
          </w:tcPr>
          <w:p w14:paraId="2118908D">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8"/>
                <w:kern w:val="0"/>
                <w:sz w:val="20"/>
                <w:szCs w:val="20"/>
                <w:lang w:eastAsia="en-US"/>
                <w14:textFill>
                  <w14:solidFill>
                    <w14:schemeClr w14:val="tx1"/>
                  </w14:solidFill>
                </w14:textFill>
              </w:rPr>
              <w:t>环境风险潜势</w:t>
            </w:r>
          </w:p>
        </w:tc>
        <w:tc>
          <w:tcPr>
            <w:tcW w:w="1824" w:type="dxa"/>
          </w:tcPr>
          <w:p w14:paraId="2152BDF5">
            <w:pPr>
              <w:kinsoku w:val="0"/>
              <w:autoSpaceDE w:val="0"/>
              <w:autoSpaceDN w:val="0"/>
              <w:adjustRightInd w:val="0"/>
              <w:snapToGrid w:val="0"/>
              <w:jc w:val="center"/>
              <w:textAlignment w:val="baseline"/>
              <w:rPr>
                <w:rFonts w:eastAsia="宋体"/>
                <w:snapToGrid w:val="0"/>
                <w:color w:val="000000" w:themeColor="text1"/>
                <w:kern w:val="0"/>
                <w:sz w:val="13"/>
                <w:szCs w:val="13"/>
                <w:lang w:eastAsia="en-US"/>
                <w14:textFill>
                  <w14:solidFill>
                    <w14:schemeClr w14:val="tx1"/>
                  </w14:solidFill>
                </w14:textFill>
              </w:rPr>
            </w:pPr>
            <w:r>
              <w:rPr>
                <w:rFonts w:eastAsia="宋体"/>
                <w:snapToGrid w:val="0"/>
                <w:color w:val="000000" w:themeColor="text1"/>
                <w:spacing w:val="1"/>
                <w:kern w:val="0"/>
                <w:sz w:val="20"/>
                <w:szCs w:val="20"/>
                <w:lang w:eastAsia="en-US"/>
                <w14:textFill>
                  <w14:solidFill>
                    <w14:schemeClr w14:val="tx1"/>
                  </w14:solidFill>
                </w14:textFill>
              </w:rPr>
              <w:t>Ⅳ、Ⅳ</w:t>
            </w:r>
            <w:r>
              <w:rPr>
                <w:rFonts w:eastAsia="宋体"/>
                <w:snapToGrid w:val="0"/>
                <w:color w:val="000000" w:themeColor="text1"/>
                <w:spacing w:val="1"/>
                <w:kern w:val="0"/>
                <w:position w:val="5"/>
                <w:sz w:val="13"/>
                <w:szCs w:val="13"/>
                <w:lang w:eastAsia="en-US"/>
                <w14:textFill>
                  <w14:solidFill>
                    <w14:schemeClr w14:val="tx1"/>
                  </w14:solidFill>
                </w14:textFill>
              </w:rPr>
              <w:t>+</w:t>
            </w:r>
          </w:p>
        </w:tc>
        <w:tc>
          <w:tcPr>
            <w:tcW w:w="1807" w:type="dxa"/>
          </w:tcPr>
          <w:p w14:paraId="68CD8280">
            <w:pPr>
              <w:widowControl/>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Ⅲ</w:t>
            </w:r>
          </w:p>
        </w:tc>
        <w:tc>
          <w:tcPr>
            <w:tcW w:w="1807" w:type="dxa"/>
          </w:tcPr>
          <w:p w14:paraId="5195D4AF">
            <w:pPr>
              <w:widowControl/>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II</w:t>
            </w:r>
          </w:p>
        </w:tc>
        <w:tc>
          <w:tcPr>
            <w:tcW w:w="1815" w:type="dxa"/>
          </w:tcPr>
          <w:p w14:paraId="5EC15A70">
            <w:pPr>
              <w:widowControl/>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Ⅰ</w:t>
            </w:r>
          </w:p>
        </w:tc>
      </w:tr>
      <w:tr w14:paraId="7688E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11" w:type="dxa"/>
          </w:tcPr>
          <w:p w14:paraId="5D7AC379">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8"/>
                <w:kern w:val="0"/>
                <w:sz w:val="20"/>
                <w:szCs w:val="20"/>
                <w:lang w:eastAsia="en-US"/>
                <w14:textFill>
                  <w14:solidFill>
                    <w14:schemeClr w14:val="tx1"/>
                  </w14:solidFill>
                </w14:textFill>
              </w:rPr>
              <w:t>评价工作等级</w:t>
            </w:r>
          </w:p>
        </w:tc>
        <w:tc>
          <w:tcPr>
            <w:tcW w:w="1824" w:type="dxa"/>
          </w:tcPr>
          <w:p w14:paraId="683382A2">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position w:val="-4"/>
                <w:sz w:val="20"/>
                <w:szCs w:val="20"/>
                <w:lang w:eastAsia="en-US"/>
                <w14:textFill>
                  <w14:solidFill>
                    <w14:schemeClr w14:val="tx1"/>
                  </w14:solidFill>
                </w14:textFill>
              </w:rPr>
              <w:t>一</w:t>
            </w:r>
          </w:p>
        </w:tc>
        <w:tc>
          <w:tcPr>
            <w:tcW w:w="1807" w:type="dxa"/>
          </w:tcPr>
          <w:p w14:paraId="2D9B2B16">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二</w:t>
            </w:r>
          </w:p>
        </w:tc>
        <w:tc>
          <w:tcPr>
            <w:tcW w:w="1807" w:type="dxa"/>
          </w:tcPr>
          <w:p w14:paraId="6E7F3B09">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三</w:t>
            </w:r>
          </w:p>
        </w:tc>
        <w:tc>
          <w:tcPr>
            <w:tcW w:w="1815" w:type="dxa"/>
          </w:tcPr>
          <w:p w14:paraId="7C675DC9">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6"/>
                <w:kern w:val="0"/>
                <w:sz w:val="20"/>
                <w:szCs w:val="20"/>
                <w:lang w:eastAsia="en-US"/>
                <w14:textFill>
                  <w14:solidFill>
                    <w14:schemeClr w14:val="tx1"/>
                  </w14:solidFill>
                </w14:textFill>
              </w:rPr>
              <w:t>简单分析*</w:t>
            </w:r>
          </w:p>
        </w:tc>
      </w:tr>
      <w:tr w14:paraId="50630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9064" w:type="dxa"/>
            <w:gridSpan w:val="5"/>
          </w:tcPr>
          <w:p w14:paraId="011245CD">
            <w:pPr>
              <w:kinsoku w:val="0"/>
              <w:autoSpaceDE w:val="0"/>
              <w:autoSpaceDN w:val="0"/>
              <w:adjustRightInd w:val="0"/>
              <w:snapToGrid w:val="0"/>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8"/>
                <w:kern w:val="0"/>
                <w:sz w:val="20"/>
                <w:szCs w:val="20"/>
                <w14:textFill>
                  <w14:solidFill>
                    <w14:schemeClr w14:val="tx1"/>
                  </w14:solidFill>
                </w14:textFill>
              </w:rPr>
              <w:t>*是相对于详细评价工作内容而言，在描述危险物质、</w:t>
            </w:r>
            <w:r>
              <w:rPr>
                <w:rFonts w:eastAsia="宋体"/>
                <w:snapToGrid w:val="0"/>
                <w:color w:val="000000" w:themeColor="text1"/>
                <w:spacing w:val="7"/>
                <w:kern w:val="0"/>
                <w:sz w:val="20"/>
                <w:szCs w:val="20"/>
                <w14:textFill>
                  <w14:solidFill>
                    <w14:schemeClr w14:val="tx1"/>
                  </w14:solidFill>
                </w14:textFill>
              </w:rPr>
              <w:t>环境影响途径、环境危害后果、风险防范措</w:t>
            </w:r>
            <w:r>
              <w:rPr>
                <w:rFonts w:eastAsia="宋体"/>
                <w:snapToGrid w:val="0"/>
                <w:color w:val="000000" w:themeColor="text1"/>
                <w:spacing w:val="9"/>
                <w:kern w:val="0"/>
                <w:sz w:val="20"/>
                <w:szCs w:val="20"/>
                <w14:textFill>
                  <w14:solidFill>
                    <w14:schemeClr w14:val="tx1"/>
                  </w14:solidFill>
                </w14:textFill>
              </w:rPr>
              <w:t>施等方面给出定性的说明。</w:t>
            </w:r>
            <w:r>
              <w:rPr>
                <w:rFonts w:eastAsia="宋体"/>
                <w:snapToGrid w:val="0"/>
                <w:color w:val="000000" w:themeColor="text1"/>
                <w:spacing w:val="9"/>
                <w:kern w:val="0"/>
                <w:sz w:val="20"/>
                <w:szCs w:val="20"/>
                <w:lang w:eastAsia="en-US"/>
                <w14:textFill>
                  <w14:solidFill>
                    <w14:schemeClr w14:val="tx1"/>
                  </w14:solidFill>
                </w14:textFill>
              </w:rPr>
              <w:t>见附录A</w:t>
            </w:r>
          </w:p>
        </w:tc>
      </w:tr>
    </w:tbl>
    <w:p w14:paraId="78093669">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根据以上分析结果，对照上表可知，大气评价等级为</w:t>
      </w:r>
      <w:r>
        <w:rPr>
          <w:rFonts w:cs="Times New Roman"/>
          <w:color w:val="000000" w:themeColor="text1"/>
          <w:spacing w:val="-2"/>
          <w:kern w:val="0"/>
          <w:szCs w:val="24"/>
          <w14:textFill>
            <w14:solidFill>
              <w14:schemeClr w14:val="tx1"/>
            </w14:solidFill>
          </w14:textFill>
        </w:rPr>
        <w:t>二级、地表水评价等级为无</w:t>
      </w:r>
      <w:r>
        <w:rPr>
          <w:rFonts w:cs="Times New Roman"/>
          <w:color w:val="000000" w:themeColor="text1"/>
          <w:spacing w:val="-6"/>
          <w:kern w:val="0"/>
          <w:szCs w:val="24"/>
          <w14:textFill>
            <w14:solidFill>
              <w14:schemeClr w14:val="tx1"/>
            </w14:solidFill>
          </w14:textFill>
        </w:rPr>
        <w:t>、地下水评价等级为简单分析，根据《建设项目环境风险评价技术导则</w:t>
      </w:r>
      <w:r>
        <w:rPr>
          <w:rFonts w:cs="Times New Roman"/>
          <w:color w:val="000000" w:themeColor="text1"/>
          <w:spacing w:val="-7"/>
          <w:kern w:val="0"/>
          <w:szCs w:val="24"/>
          <w14:textFill>
            <w14:solidFill>
              <w14:schemeClr w14:val="tx1"/>
            </w14:solidFill>
          </w14:textFill>
        </w:rPr>
        <w:t>》（HJ169-2018）</w:t>
      </w:r>
      <w:r>
        <w:rPr>
          <w:rFonts w:cs="Times New Roman"/>
          <w:color w:val="000000" w:themeColor="text1"/>
          <w:kern w:val="0"/>
          <w:szCs w:val="24"/>
          <w14:textFill>
            <w14:solidFill>
              <w14:schemeClr w14:val="tx1"/>
            </w14:solidFill>
          </w14:textFill>
        </w:rPr>
        <w:t>规定，环境风险综合评价等级为二级，评价</w:t>
      </w:r>
      <w:r>
        <w:rPr>
          <w:rFonts w:cs="Times New Roman"/>
          <w:color w:val="000000" w:themeColor="text1"/>
          <w:spacing w:val="-1"/>
          <w:kern w:val="0"/>
          <w:szCs w:val="24"/>
          <w14:textFill>
            <w14:solidFill>
              <w14:schemeClr w14:val="tx1"/>
            </w14:solidFill>
          </w14:textFill>
        </w:rPr>
        <w:t>范围为距离厂界5km的范围。</w:t>
      </w:r>
    </w:p>
    <w:p w14:paraId="24EA4B7F">
      <w:pPr>
        <w:pStyle w:val="186"/>
        <w:ind w:firstLine="480"/>
        <w:rPr>
          <w:rFonts w:cs="Times New Roman"/>
          <w:color w:val="000000" w:themeColor="text1"/>
          <w:szCs w:val="24"/>
          <w14:textFill>
            <w14:solidFill>
              <w14:schemeClr w14:val="tx1"/>
            </w14:solidFill>
          </w14:textFill>
        </w:rPr>
        <w:sectPr>
          <w:footerReference r:id="rId12" w:type="default"/>
          <w:pgSz w:w="11906" w:h="16839"/>
          <w:pgMar w:top="1431" w:right="1418" w:bottom="958" w:left="1418" w:header="0" w:footer="695" w:gutter="0"/>
          <w:cols w:space="720" w:num="1"/>
        </w:sectPr>
      </w:pPr>
    </w:p>
    <w:p w14:paraId="7D14D593">
      <w:pPr>
        <w:pStyle w:val="184"/>
        <w:rPr>
          <w:rFonts w:hint="default" w:cs="Times New Roman"/>
          <w:snapToGrid w:val="0"/>
          <w:color w:val="000000" w:themeColor="text1"/>
          <w:szCs w:val="24"/>
          <w14:textFill>
            <w14:solidFill>
              <w14:schemeClr w14:val="tx1"/>
            </w14:solidFill>
          </w14:textFill>
        </w:rPr>
      </w:pPr>
      <w:bookmarkStart w:id="112" w:name="_Toc191543577"/>
      <w:bookmarkStart w:id="113" w:name="_Toc190759001"/>
      <w:bookmarkStart w:id="114" w:name="_Toc27431"/>
      <w:bookmarkStart w:id="115" w:name="_Toc192084908"/>
      <w:bookmarkStart w:id="116" w:name="_Toc3551"/>
      <w:r>
        <w:rPr>
          <w:rFonts w:hint="default" w:cs="Times New Roman"/>
          <w:snapToGrid w:val="0"/>
          <w:color w:val="000000" w:themeColor="text1"/>
          <w:spacing w:val="-5"/>
          <w:szCs w:val="24"/>
          <w14:textFill>
            <w14:solidFill>
              <w14:schemeClr w14:val="tx1"/>
            </w14:solidFill>
          </w14:textFill>
        </w:rPr>
        <w:t>7.风险识别</w:t>
      </w:r>
      <w:bookmarkEnd w:id="112"/>
      <w:bookmarkEnd w:id="113"/>
      <w:bookmarkEnd w:id="114"/>
      <w:bookmarkEnd w:id="115"/>
      <w:bookmarkEnd w:id="116"/>
    </w:p>
    <w:p w14:paraId="2196F8F7">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建设项目环境分析识别范围包括生产设施风险</w:t>
      </w:r>
      <w:r>
        <w:rPr>
          <w:rFonts w:cs="Times New Roman"/>
          <w:color w:val="000000" w:themeColor="text1"/>
          <w:spacing w:val="-2"/>
          <w:kern w:val="0"/>
          <w:szCs w:val="24"/>
          <w14:textFill>
            <w14:solidFill>
              <w14:schemeClr w14:val="tx1"/>
            </w14:solidFill>
          </w14:textFill>
        </w:rPr>
        <w:t>识别和涉及的物质风险识别。通过</w:t>
      </w:r>
      <w:r>
        <w:rPr>
          <w:rFonts w:cs="Times New Roman"/>
          <w:color w:val="000000" w:themeColor="text1"/>
          <w:spacing w:val="-1"/>
          <w:kern w:val="0"/>
          <w:szCs w:val="24"/>
          <w14:textFill>
            <w14:solidFill>
              <w14:schemeClr w14:val="tx1"/>
            </w14:solidFill>
          </w14:textFill>
        </w:rPr>
        <w:t>工程分析和同行业类比确定，本项目在营运过程中具有</w:t>
      </w:r>
      <w:r>
        <w:rPr>
          <w:rFonts w:cs="Times New Roman"/>
          <w:color w:val="000000" w:themeColor="text1"/>
          <w:spacing w:val="-2"/>
          <w:kern w:val="0"/>
          <w:szCs w:val="24"/>
          <w14:textFill>
            <w14:solidFill>
              <w14:schemeClr w14:val="tx1"/>
            </w14:solidFill>
          </w14:textFill>
        </w:rPr>
        <w:t>发生潜在风险事故的设施主要</w:t>
      </w:r>
      <w:r>
        <w:rPr>
          <w:rFonts w:cs="Times New Roman"/>
          <w:color w:val="000000" w:themeColor="text1"/>
          <w:kern w:val="0"/>
          <w:szCs w:val="24"/>
          <w14:textFill>
            <w14:solidFill>
              <w14:schemeClr w14:val="tx1"/>
            </w14:solidFill>
          </w14:textFill>
        </w:rPr>
        <w:t>为原料储存袋破损，导致固体硫酸铵泄漏；</w:t>
      </w:r>
      <w:r>
        <w:rPr>
          <w:rFonts w:cs="Times New Roman"/>
          <w:color w:val="000000" w:themeColor="text1"/>
          <w:spacing w:val="-1"/>
          <w:kern w:val="0"/>
          <w:szCs w:val="24"/>
          <w14:textFill>
            <w14:solidFill>
              <w14:schemeClr w14:val="tx1"/>
            </w14:solidFill>
          </w14:textFill>
        </w:rPr>
        <w:t>具有潜在风险的物质为硫酸铵。</w:t>
      </w:r>
    </w:p>
    <w:p w14:paraId="6BBA7F79">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化工生产过程中可能发生的事故有机械破损、物体</w:t>
      </w:r>
      <w:r>
        <w:rPr>
          <w:rFonts w:cs="Times New Roman"/>
          <w:color w:val="000000" w:themeColor="text1"/>
          <w:spacing w:val="-2"/>
          <w:kern w:val="0"/>
          <w:szCs w:val="24"/>
          <w14:textFill>
            <w14:solidFill>
              <w14:schemeClr w14:val="tx1"/>
            </w14:solidFill>
          </w14:textFill>
        </w:rPr>
        <w:t>摔落、交通事故、腐蚀性物质</w:t>
      </w:r>
      <w:r>
        <w:rPr>
          <w:rFonts w:cs="Times New Roman"/>
          <w:color w:val="000000" w:themeColor="text1"/>
          <w:spacing w:val="-1"/>
          <w:kern w:val="0"/>
          <w:szCs w:val="24"/>
          <w14:textFill>
            <w14:solidFill>
              <w14:schemeClr w14:val="tx1"/>
            </w14:solidFill>
          </w14:textFill>
        </w:rPr>
        <w:t>喷溅致残、有毒物质的泄漏引起火灾、爆炸、有毒物质排</w:t>
      </w:r>
      <w:r>
        <w:rPr>
          <w:rFonts w:cs="Times New Roman"/>
          <w:color w:val="000000" w:themeColor="text1"/>
          <w:spacing w:val="-2"/>
          <w:kern w:val="0"/>
          <w:szCs w:val="24"/>
          <w14:textFill>
            <w14:solidFill>
              <w14:schemeClr w14:val="tx1"/>
            </w14:solidFill>
          </w14:textFill>
        </w:rPr>
        <w:t>放等；其中，后三种可以导</w:t>
      </w:r>
      <w:r>
        <w:rPr>
          <w:rFonts w:cs="Times New Roman"/>
          <w:color w:val="000000" w:themeColor="text1"/>
          <w:spacing w:val="-1"/>
          <w:kern w:val="0"/>
          <w:szCs w:val="24"/>
          <w14:textFill>
            <w14:solidFill>
              <w14:schemeClr w14:val="tx1"/>
            </w14:solidFill>
          </w14:textFill>
        </w:rPr>
        <w:t>致具有严重后果的危害。本项目硫酸铵贮存在原料库房内，库</w:t>
      </w:r>
      <w:r>
        <w:rPr>
          <w:rFonts w:cs="Times New Roman"/>
          <w:color w:val="000000" w:themeColor="text1"/>
          <w:spacing w:val="-2"/>
          <w:kern w:val="0"/>
          <w:szCs w:val="24"/>
          <w14:textFill>
            <w14:solidFill>
              <w14:schemeClr w14:val="tx1"/>
            </w14:solidFill>
          </w14:textFill>
        </w:rPr>
        <w:t>房内不涉及硫酸铵禁配</w:t>
      </w:r>
      <w:r>
        <w:rPr>
          <w:rFonts w:cs="Times New Roman"/>
          <w:color w:val="000000" w:themeColor="text1"/>
          <w:spacing w:val="-1"/>
          <w:kern w:val="0"/>
          <w:szCs w:val="24"/>
          <w14:textFill>
            <w14:solidFill>
              <w14:schemeClr w14:val="tx1"/>
            </w14:solidFill>
          </w14:textFill>
        </w:rPr>
        <w:t>物强酸、强碱，因此项目的风险事故类型为原料包装袋及袋内</w:t>
      </w:r>
      <w:r>
        <w:rPr>
          <w:rFonts w:cs="Times New Roman"/>
          <w:color w:val="000000" w:themeColor="text1"/>
          <w:spacing w:val="-2"/>
          <w:kern w:val="0"/>
          <w:szCs w:val="24"/>
          <w14:textFill>
            <w14:solidFill>
              <w14:schemeClr w14:val="tx1"/>
            </w14:solidFill>
          </w14:textFill>
        </w:rPr>
        <w:t>塑料薄膜发生破损，导致硫酸铵泄漏。</w:t>
      </w:r>
    </w:p>
    <w:p w14:paraId="4CB651C4">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7.1物质危险性识别</w:t>
      </w:r>
    </w:p>
    <w:p w14:paraId="258A3F6C">
      <w:pPr>
        <w:pStyle w:val="186"/>
        <w:ind w:firstLine="468"/>
        <w:rPr>
          <w:rFonts w:cs="Times New Roman"/>
          <w:color w:val="000000" w:themeColor="text1"/>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根据《建设项目环境风险评价技术导则》（HJ169-2018）附录B，如果在附录B</w:t>
      </w:r>
      <w:r>
        <w:rPr>
          <w:rFonts w:cs="Times New Roman"/>
          <w:color w:val="000000" w:themeColor="text1"/>
          <w:spacing w:val="5"/>
          <w:kern w:val="0"/>
          <w:szCs w:val="24"/>
          <w14:textFill>
            <w14:solidFill>
              <w14:schemeClr w14:val="tx1"/>
            </w14:solidFill>
          </w14:textFill>
        </w:rPr>
        <w:t>中未找到相对应的，可对照《化学品分类和标签规范第18部</w:t>
      </w:r>
      <w:r>
        <w:rPr>
          <w:rFonts w:cs="Times New Roman"/>
          <w:color w:val="000000" w:themeColor="text1"/>
          <w:spacing w:val="4"/>
          <w:kern w:val="0"/>
          <w:szCs w:val="24"/>
          <w14:textFill>
            <w14:solidFill>
              <w14:schemeClr w14:val="tx1"/>
            </w14:solidFill>
          </w14:textFill>
        </w:rPr>
        <w:t>分：急性毒性》（</w:t>
      </w:r>
      <w:r>
        <w:rPr>
          <w:rFonts w:cs="Times New Roman"/>
          <w:color w:val="000000" w:themeColor="text1"/>
          <w:kern w:val="0"/>
          <w:szCs w:val="24"/>
          <w14:textFill>
            <w14:solidFill>
              <w14:schemeClr w14:val="tx1"/>
            </w14:solidFill>
          </w14:textFill>
        </w:rPr>
        <w:t>GB</w:t>
      </w:r>
      <w:r>
        <w:rPr>
          <w:rFonts w:cs="Times New Roman"/>
          <w:color w:val="000000" w:themeColor="text1"/>
          <w:spacing w:val="-10"/>
          <w:kern w:val="0"/>
          <w:szCs w:val="24"/>
          <w14:textFill>
            <w14:solidFill>
              <w14:schemeClr w14:val="tx1"/>
            </w14:solidFill>
          </w14:textFill>
        </w:rPr>
        <w:t>30000.18）和《化学品分类和标签规范第28部分：对水生环境的危害》（GB300</w:t>
      </w:r>
      <w:r>
        <w:rPr>
          <w:rFonts w:cs="Times New Roman"/>
          <w:color w:val="000000" w:themeColor="text1"/>
          <w:spacing w:val="-11"/>
          <w:kern w:val="0"/>
          <w:szCs w:val="24"/>
          <w14:textFill>
            <w14:solidFill>
              <w14:schemeClr w14:val="tx1"/>
            </w14:solidFill>
          </w14:textFill>
        </w:rPr>
        <w:t>00.28</w:t>
      </w:r>
      <w:r>
        <w:rPr>
          <w:rFonts w:cs="Times New Roman"/>
          <w:color w:val="000000" w:themeColor="text1"/>
          <w:spacing w:val="-53"/>
          <w:w w:val="85"/>
          <w:kern w:val="0"/>
          <w:szCs w:val="24"/>
          <w14:textFill>
            <w14:solidFill>
              <w14:schemeClr w14:val="tx1"/>
            </w14:solidFill>
          </w14:textFill>
        </w:rPr>
        <w:t>），</w:t>
      </w:r>
      <w:r>
        <w:rPr>
          <w:rFonts w:cs="Times New Roman"/>
          <w:color w:val="000000" w:themeColor="text1"/>
          <w:spacing w:val="-1"/>
          <w:kern w:val="0"/>
          <w:szCs w:val="24"/>
          <w14:textFill>
            <w14:solidFill>
              <w14:schemeClr w14:val="tx1"/>
            </w14:solidFill>
          </w14:textFill>
        </w:rPr>
        <w:t>对建设项目生产、贮存、运输、污染物处理过程中产生的物质进</w:t>
      </w:r>
      <w:r>
        <w:rPr>
          <w:rFonts w:cs="Times New Roman"/>
          <w:color w:val="000000" w:themeColor="text1"/>
          <w:spacing w:val="-2"/>
          <w:kern w:val="0"/>
          <w:szCs w:val="24"/>
          <w14:textFill>
            <w14:solidFill>
              <w14:schemeClr w14:val="tx1"/>
            </w14:solidFill>
          </w14:textFill>
        </w:rPr>
        <w:t>行判定，其他危险性</w:t>
      </w:r>
      <w:r>
        <w:rPr>
          <w:rFonts w:cs="Times New Roman"/>
          <w:color w:val="000000" w:themeColor="text1"/>
          <w:spacing w:val="-1"/>
          <w:kern w:val="0"/>
          <w:szCs w:val="24"/>
          <w14:textFill>
            <w14:solidFill>
              <w14:schemeClr w14:val="tx1"/>
            </w14:solidFill>
          </w14:textFill>
        </w:rPr>
        <w:t>物质判定标准见下表。</w:t>
      </w:r>
    </w:p>
    <w:p w14:paraId="4422421C">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其它物质危险性判定标准</w:t>
      </w:r>
    </w:p>
    <w:tbl>
      <w:tblPr>
        <w:tblStyle w:val="171"/>
        <w:tblW w:w="9060"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533"/>
        <w:gridCol w:w="2278"/>
        <w:gridCol w:w="2411"/>
        <w:gridCol w:w="2844"/>
      </w:tblGrid>
      <w:tr w14:paraId="095AD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994" w:type="dxa"/>
            <w:vAlign w:val="center"/>
          </w:tcPr>
          <w:p w14:paraId="3371BC45">
            <w:pPr>
              <w:pStyle w:val="188"/>
              <w:rPr>
                <w:rFonts w:cs="Times New Roman"/>
                <w:b/>
                <w:bCs/>
                <w:color w:val="000000" w:themeColor="text1"/>
                <w:lang w:eastAsia="en-US"/>
                <w14:textFill>
                  <w14:solidFill>
                    <w14:schemeClr w14:val="tx1"/>
                  </w14:solidFill>
                </w14:textFill>
              </w:rPr>
            </w:pPr>
            <w:r>
              <w:rPr>
                <w:rFonts w:cs="Times New Roman"/>
                <w:b/>
                <w:bCs/>
                <w:color w:val="000000" w:themeColor="text1"/>
                <w:lang w:eastAsia="en-US"/>
                <w14:textFill>
                  <w14:solidFill>
                    <w14:schemeClr w14:val="tx1"/>
                  </w14:solidFill>
                </w14:textFill>
              </w:rPr>
              <w:t>危害</w:t>
            </w:r>
          </w:p>
        </w:tc>
        <w:tc>
          <w:tcPr>
            <w:tcW w:w="533" w:type="dxa"/>
            <w:textDirection w:val="tbRlV"/>
            <w:vAlign w:val="center"/>
          </w:tcPr>
          <w:p w14:paraId="6056CC3E">
            <w:pPr>
              <w:pStyle w:val="188"/>
              <w:rPr>
                <w:rFonts w:cs="Times New Roman"/>
                <w:b/>
                <w:bCs/>
                <w:color w:val="000000" w:themeColor="text1"/>
                <w:lang w:eastAsia="en-US"/>
                <w14:textFill>
                  <w14:solidFill>
                    <w14:schemeClr w14:val="tx1"/>
                  </w14:solidFill>
                </w14:textFill>
              </w:rPr>
            </w:pPr>
            <w:r>
              <w:rPr>
                <w:rFonts w:cs="Times New Roman"/>
                <w:b/>
                <w:bCs/>
                <w:color w:val="000000" w:themeColor="text1"/>
                <w:lang w:eastAsia="en-US"/>
                <w14:textFill>
                  <w14:solidFill>
                    <w14:schemeClr w14:val="tx1"/>
                  </w14:solidFill>
                </w14:textFill>
              </w:rPr>
              <w:t>序号</w:t>
            </w:r>
          </w:p>
        </w:tc>
        <w:tc>
          <w:tcPr>
            <w:tcW w:w="2278" w:type="dxa"/>
            <w:vAlign w:val="center"/>
          </w:tcPr>
          <w:p w14:paraId="6D142A1C">
            <w:pPr>
              <w:pStyle w:val="188"/>
              <w:rPr>
                <w:rFonts w:cs="Times New Roman"/>
                <w:b/>
                <w:bCs/>
                <w:color w:val="000000" w:themeColor="text1"/>
                <w:lang w:eastAsia="en-US"/>
                <w14:textFill>
                  <w14:solidFill>
                    <w14:schemeClr w14:val="tx1"/>
                  </w14:solidFill>
                </w14:textFill>
              </w:rPr>
            </w:pPr>
            <w:r>
              <w:rPr>
                <w:rFonts w:cs="Times New Roman"/>
                <w:b/>
                <w:bCs/>
                <w:color w:val="000000" w:themeColor="text1"/>
                <w:lang w:eastAsia="en-US"/>
                <w14:textFill>
                  <w14:solidFill>
                    <w14:schemeClr w14:val="tx1"/>
                  </w14:solidFill>
                </w14:textFill>
              </w:rPr>
              <w:t>LD50(大鼠口)/(mg/kg)</w:t>
            </w:r>
          </w:p>
        </w:tc>
        <w:tc>
          <w:tcPr>
            <w:tcW w:w="2411" w:type="dxa"/>
            <w:vAlign w:val="center"/>
          </w:tcPr>
          <w:p w14:paraId="14DAC3BF">
            <w:pPr>
              <w:pStyle w:val="188"/>
              <w:rPr>
                <w:rFonts w:cs="Times New Roman"/>
                <w:b/>
                <w:bCs/>
                <w:color w:val="000000" w:themeColor="text1"/>
                <w:lang w:eastAsia="en-US"/>
                <w14:textFill>
                  <w14:solidFill>
                    <w14:schemeClr w14:val="tx1"/>
                  </w14:solidFill>
                </w14:textFill>
              </w:rPr>
            </w:pPr>
            <w:r>
              <w:rPr>
                <w:rFonts w:cs="Times New Roman"/>
                <w:b/>
                <w:bCs/>
                <w:color w:val="000000" w:themeColor="text1"/>
                <w:lang w:eastAsia="en-US"/>
                <w14:textFill>
                  <w14:solidFill>
                    <w14:schemeClr w14:val="tx1"/>
                  </w14:solidFill>
                </w14:textFill>
              </w:rPr>
              <w:t>LD50(大鼠经皮)/(mg/kg)</w:t>
            </w:r>
          </w:p>
        </w:tc>
        <w:tc>
          <w:tcPr>
            <w:tcW w:w="2844" w:type="dxa"/>
            <w:vAlign w:val="center"/>
          </w:tcPr>
          <w:p w14:paraId="365DCA97">
            <w:pPr>
              <w:pStyle w:val="188"/>
              <w:rPr>
                <w:rFonts w:cs="Times New Roman"/>
                <w:b/>
                <w:bCs/>
                <w:color w:val="000000" w:themeColor="text1"/>
                <w:lang w:eastAsia="en-US"/>
                <w14:textFill>
                  <w14:solidFill>
                    <w14:schemeClr w14:val="tx1"/>
                  </w14:solidFill>
                </w14:textFill>
              </w:rPr>
            </w:pPr>
            <w:r>
              <w:rPr>
                <w:rFonts w:cs="Times New Roman"/>
                <w:b/>
                <w:bCs/>
                <w:color w:val="000000" w:themeColor="text1"/>
                <w:lang w:eastAsia="en-US"/>
                <w14:textFill>
                  <w14:solidFill>
                    <w14:schemeClr w14:val="tx1"/>
                  </w14:solidFill>
                </w14:textFill>
              </w:rPr>
              <w:t>LC50(小鼠吸入，4h)/(mg/L)</w:t>
            </w:r>
          </w:p>
        </w:tc>
      </w:tr>
      <w:tr w14:paraId="2D700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94" w:type="dxa"/>
            <w:vMerge w:val="restart"/>
            <w:tcBorders>
              <w:bottom w:val="nil"/>
            </w:tcBorders>
            <w:vAlign w:val="center"/>
          </w:tcPr>
          <w:p w14:paraId="386C8CE8">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有毒物质</w:t>
            </w:r>
          </w:p>
        </w:tc>
        <w:tc>
          <w:tcPr>
            <w:tcW w:w="533" w:type="dxa"/>
            <w:vAlign w:val="center"/>
          </w:tcPr>
          <w:p w14:paraId="44F11CCF">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1</w:t>
            </w:r>
          </w:p>
        </w:tc>
        <w:tc>
          <w:tcPr>
            <w:tcW w:w="2278" w:type="dxa"/>
          </w:tcPr>
          <w:p w14:paraId="42A43C05">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＜5</w:t>
            </w:r>
          </w:p>
        </w:tc>
        <w:tc>
          <w:tcPr>
            <w:tcW w:w="2411" w:type="dxa"/>
          </w:tcPr>
          <w:p w14:paraId="64AB41A4">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＜1</w:t>
            </w:r>
          </w:p>
        </w:tc>
        <w:tc>
          <w:tcPr>
            <w:tcW w:w="2844" w:type="dxa"/>
          </w:tcPr>
          <w:p w14:paraId="3EAB22AD">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＜0.01</w:t>
            </w:r>
          </w:p>
        </w:tc>
      </w:tr>
      <w:tr w14:paraId="2A4D0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94" w:type="dxa"/>
            <w:vMerge w:val="continue"/>
            <w:tcBorders>
              <w:top w:val="nil"/>
              <w:bottom w:val="nil"/>
            </w:tcBorders>
            <w:vAlign w:val="center"/>
          </w:tcPr>
          <w:p w14:paraId="648BE27F">
            <w:pPr>
              <w:pStyle w:val="188"/>
              <w:rPr>
                <w:rFonts w:cs="Times New Roman"/>
                <w:color w:val="000000" w:themeColor="text1"/>
                <w:lang w:eastAsia="en-US"/>
                <w14:textFill>
                  <w14:solidFill>
                    <w14:schemeClr w14:val="tx1"/>
                  </w14:solidFill>
                </w14:textFill>
              </w:rPr>
            </w:pPr>
          </w:p>
        </w:tc>
        <w:tc>
          <w:tcPr>
            <w:tcW w:w="533" w:type="dxa"/>
            <w:vAlign w:val="center"/>
          </w:tcPr>
          <w:p w14:paraId="274D457C">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2</w:t>
            </w:r>
          </w:p>
        </w:tc>
        <w:tc>
          <w:tcPr>
            <w:tcW w:w="2278" w:type="dxa"/>
          </w:tcPr>
          <w:p w14:paraId="196FF031">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5＜LD50＜25</w:t>
            </w:r>
          </w:p>
        </w:tc>
        <w:tc>
          <w:tcPr>
            <w:tcW w:w="2411" w:type="dxa"/>
          </w:tcPr>
          <w:p w14:paraId="6B236E50">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10＜LD50＜50</w:t>
            </w:r>
          </w:p>
        </w:tc>
        <w:tc>
          <w:tcPr>
            <w:tcW w:w="2844" w:type="dxa"/>
          </w:tcPr>
          <w:p w14:paraId="6419773B">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0.1＜LC50＜0.5</w:t>
            </w:r>
          </w:p>
        </w:tc>
      </w:tr>
      <w:tr w14:paraId="7D9A3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94" w:type="dxa"/>
            <w:vMerge w:val="continue"/>
            <w:tcBorders>
              <w:top w:val="nil"/>
            </w:tcBorders>
            <w:vAlign w:val="center"/>
          </w:tcPr>
          <w:p w14:paraId="4E4F4C68">
            <w:pPr>
              <w:pStyle w:val="188"/>
              <w:rPr>
                <w:rFonts w:cs="Times New Roman"/>
                <w:color w:val="000000" w:themeColor="text1"/>
                <w:lang w:eastAsia="en-US"/>
                <w14:textFill>
                  <w14:solidFill>
                    <w14:schemeClr w14:val="tx1"/>
                  </w14:solidFill>
                </w14:textFill>
              </w:rPr>
            </w:pPr>
          </w:p>
        </w:tc>
        <w:tc>
          <w:tcPr>
            <w:tcW w:w="533" w:type="dxa"/>
            <w:vAlign w:val="center"/>
          </w:tcPr>
          <w:p w14:paraId="298D9708">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3</w:t>
            </w:r>
          </w:p>
        </w:tc>
        <w:tc>
          <w:tcPr>
            <w:tcW w:w="2278" w:type="dxa"/>
          </w:tcPr>
          <w:p w14:paraId="000AC484">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25＜LD50＜200</w:t>
            </w:r>
          </w:p>
        </w:tc>
        <w:tc>
          <w:tcPr>
            <w:tcW w:w="2411" w:type="dxa"/>
          </w:tcPr>
          <w:p w14:paraId="5A3F3C7E">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50＜LD50＜400</w:t>
            </w:r>
          </w:p>
        </w:tc>
        <w:tc>
          <w:tcPr>
            <w:tcW w:w="2844" w:type="dxa"/>
          </w:tcPr>
          <w:p w14:paraId="29F0E28D">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0.5＜LC50＜2</w:t>
            </w:r>
          </w:p>
        </w:tc>
      </w:tr>
      <w:tr w14:paraId="2B452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4" w:type="dxa"/>
            <w:vMerge w:val="restart"/>
            <w:tcBorders>
              <w:bottom w:val="nil"/>
            </w:tcBorders>
            <w:vAlign w:val="center"/>
          </w:tcPr>
          <w:p w14:paraId="2B9C58AD">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易燃物质</w:t>
            </w:r>
          </w:p>
        </w:tc>
        <w:tc>
          <w:tcPr>
            <w:tcW w:w="533" w:type="dxa"/>
            <w:vAlign w:val="center"/>
          </w:tcPr>
          <w:p w14:paraId="2428B1AA">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1</w:t>
            </w:r>
          </w:p>
        </w:tc>
        <w:tc>
          <w:tcPr>
            <w:tcW w:w="7533" w:type="dxa"/>
            <w:gridSpan w:val="3"/>
          </w:tcPr>
          <w:p w14:paraId="389809F2">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可燃气体：在常压下以气态存在并与空气混合形成可燃混合物，其沸点（常压下）是20℃或20℃以下的物质。</w:t>
            </w:r>
          </w:p>
        </w:tc>
      </w:tr>
      <w:tr w14:paraId="7D487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994" w:type="dxa"/>
            <w:vMerge w:val="continue"/>
            <w:tcBorders>
              <w:top w:val="nil"/>
              <w:bottom w:val="nil"/>
            </w:tcBorders>
            <w:vAlign w:val="center"/>
          </w:tcPr>
          <w:p w14:paraId="40A77E3F">
            <w:pPr>
              <w:pStyle w:val="188"/>
              <w:rPr>
                <w:rFonts w:cs="Times New Roman"/>
                <w:color w:val="000000" w:themeColor="text1"/>
                <w14:textFill>
                  <w14:solidFill>
                    <w14:schemeClr w14:val="tx1"/>
                  </w14:solidFill>
                </w14:textFill>
              </w:rPr>
            </w:pPr>
          </w:p>
        </w:tc>
        <w:tc>
          <w:tcPr>
            <w:tcW w:w="533" w:type="dxa"/>
            <w:vAlign w:val="center"/>
          </w:tcPr>
          <w:p w14:paraId="3064C60B">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2</w:t>
            </w:r>
          </w:p>
        </w:tc>
        <w:tc>
          <w:tcPr>
            <w:tcW w:w="7533" w:type="dxa"/>
            <w:gridSpan w:val="3"/>
          </w:tcPr>
          <w:p w14:paraId="6FD5D866">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易燃液体：闪点低于21℃，沸点高于20℃的物质。</w:t>
            </w:r>
          </w:p>
        </w:tc>
      </w:tr>
      <w:tr w14:paraId="72ECB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4" w:type="dxa"/>
            <w:vMerge w:val="continue"/>
            <w:tcBorders>
              <w:top w:val="nil"/>
            </w:tcBorders>
            <w:vAlign w:val="center"/>
          </w:tcPr>
          <w:p w14:paraId="0D8295A0">
            <w:pPr>
              <w:pStyle w:val="188"/>
              <w:rPr>
                <w:rFonts w:cs="Times New Roman"/>
                <w:color w:val="000000" w:themeColor="text1"/>
                <w14:textFill>
                  <w14:solidFill>
                    <w14:schemeClr w14:val="tx1"/>
                  </w14:solidFill>
                </w14:textFill>
              </w:rPr>
            </w:pPr>
          </w:p>
        </w:tc>
        <w:tc>
          <w:tcPr>
            <w:tcW w:w="533" w:type="dxa"/>
            <w:vAlign w:val="center"/>
          </w:tcPr>
          <w:p w14:paraId="4CBA9FF6">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3</w:t>
            </w:r>
          </w:p>
        </w:tc>
        <w:tc>
          <w:tcPr>
            <w:tcW w:w="7533" w:type="dxa"/>
            <w:gridSpan w:val="3"/>
          </w:tcPr>
          <w:p w14:paraId="2454960A">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可燃液体：闪点低于55℃，压力下保持液态，在实际操作条件下（如高温高压）可以引起重大事故的物质。</w:t>
            </w:r>
          </w:p>
        </w:tc>
      </w:tr>
      <w:tr w14:paraId="5C9D8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994" w:type="dxa"/>
          </w:tcPr>
          <w:p w14:paraId="412FDBCB">
            <w:pPr>
              <w:pStyle w:val="188"/>
              <w:rPr>
                <w:rFonts w:cs="Times New Roman"/>
                <w:color w:val="000000" w:themeColor="text1"/>
                <w:lang w:eastAsia="en-US"/>
                <w14:textFill>
                  <w14:solidFill>
                    <w14:schemeClr w14:val="tx1"/>
                  </w14:solidFill>
                </w14:textFill>
              </w:rPr>
            </w:pPr>
            <w:r>
              <w:rPr>
                <w:rFonts w:cs="Times New Roman"/>
                <w:color w:val="000000" w:themeColor="text1"/>
                <w:lang w:eastAsia="en-US"/>
                <w14:textFill>
                  <w14:solidFill>
                    <w14:schemeClr w14:val="tx1"/>
                  </w14:solidFill>
                </w14:textFill>
              </w:rPr>
              <w:t>爆炸性物质</w:t>
            </w:r>
          </w:p>
        </w:tc>
        <w:tc>
          <w:tcPr>
            <w:tcW w:w="8066" w:type="dxa"/>
            <w:gridSpan w:val="4"/>
          </w:tcPr>
          <w:p w14:paraId="7BC5BB4D">
            <w:pPr>
              <w:pStyle w:val="188"/>
              <w:ind w:firstLine="42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在火焰影响下可以爆炸，或者对冲击、摩擦比硝基苯更为敏感的物质。</w:t>
            </w:r>
          </w:p>
        </w:tc>
      </w:tr>
    </w:tbl>
    <w:p w14:paraId="79D5BBCE">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根据上述判定标准，建设项目在生产过程中涉及的主</w:t>
      </w:r>
      <w:r>
        <w:rPr>
          <w:rFonts w:cs="Times New Roman"/>
          <w:color w:val="000000" w:themeColor="text1"/>
          <w:spacing w:val="-2"/>
          <w:kern w:val="0"/>
          <w:szCs w:val="24"/>
          <w14:textFill>
            <w14:solidFill>
              <w14:schemeClr w14:val="tx1"/>
            </w14:solidFill>
          </w14:textFill>
        </w:rPr>
        <w:t>要危险有害物质为硫酸铵</w:t>
      </w:r>
      <w:r>
        <w:rPr>
          <w:rFonts w:cs="Times New Roman"/>
          <w:color w:val="000000" w:themeColor="text1"/>
          <w:spacing w:val="-1"/>
          <w:kern w:val="0"/>
          <w:szCs w:val="24"/>
          <w14:textFill>
            <w14:solidFill>
              <w14:schemeClr w14:val="tx1"/>
            </w14:solidFill>
          </w14:textFill>
        </w:rPr>
        <w:t>，主要危险物质理化及毒性特性见下表。</w:t>
      </w:r>
    </w:p>
    <w:p w14:paraId="1661280E">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危险物质的危险特性表</w:t>
      </w:r>
    </w:p>
    <w:tbl>
      <w:tblPr>
        <w:tblStyle w:val="171"/>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8"/>
        <w:gridCol w:w="5069"/>
        <w:gridCol w:w="2194"/>
        <w:gridCol w:w="793"/>
      </w:tblGrid>
      <w:tr w14:paraId="0B900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008" w:type="dxa"/>
          </w:tcPr>
          <w:p w14:paraId="174870B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项目</w:t>
            </w:r>
          </w:p>
        </w:tc>
        <w:tc>
          <w:tcPr>
            <w:tcW w:w="5069" w:type="dxa"/>
          </w:tcPr>
          <w:p w14:paraId="0A141B7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化学性质</w:t>
            </w:r>
          </w:p>
        </w:tc>
        <w:tc>
          <w:tcPr>
            <w:tcW w:w="2194" w:type="dxa"/>
          </w:tcPr>
          <w:p w14:paraId="5D5E6BAC">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毒性终点浓度</w:t>
            </w:r>
          </w:p>
        </w:tc>
        <w:tc>
          <w:tcPr>
            <w:tcW w:w="793" w:type="dxa"/>
          </w:tcPr>
          <w:p w14:paraId="4B72D777">
            <w:pPr>
              <w:kinsoku w:val="0"/>
              <w:autoSpaceDE w:val="0"/>
              <w:autoSpaceDN w:val="0"/>
              <w:adjustRightInd w:val="0"/>
              <w:snapToGrid w:val="0"/>
              <w:spacing w:before="34" w:line="217" w:lineRule="auto"/>
              <w:ind w:left="194"/>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备注</w:t>
            </w:r>
          </w:p>
        </w:tc>
      </w:tr>
      <w:tr w14:paraId="0F11C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1008" w:type="dxa"/>
            <w:vAlign w:val="center"/>
          </w:tcPr>
          <w:p w14:paraId="36783AA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硫酸铵</w:t>
            </w:r>
          </w:p>
        </w:tc>
        <w:tc>
          <w:tcPr>
            <w:tcW w:w="5069" w:type="dxa"/>
            <w:vAlign w:val="center"/>
          </w:tcPr>
          <w:p w14:paraId="73763877">
            <w:pPr>
              <w:pStyle w:val="188"/>
              <w:ind w:firstLine="456" w:firstLineChars="200"/>
              <w:jc w:val="both"/>
              <w:rPr>
                <w:rFonts w:cs="Times New Roman"/>
                <w:color w:val="000000" w:themeColor="text1"/>
                <w:kern w:val="0"/>
                <w:szCs w:val="20"/>
                <w14:textFill>
                  <w14:solidFill>
                    <w14:schemeClr w14:val="tx1"/>
                  </w14:solidFill>
                </w14:textFill>
              </w:rPr>
            </w:pPr>
            <w:r>
              <w:rPr>
                <w:rFonts w:cs="Times New Roman"/>
                <w:color w:val="000000" w:themeColor="text1"/>
                <w:spacing w:val="9"/>
                <w:kern w:val="0"/>
                <w:szCs w:val="20"/>
                <w14:textFill>
                  <w14:solidFill>
                    <w14:schemeClr w14:val="tx1"/>
                  </w14:solidFill>
                </w14:textFill>
              </w:rPr>
              <w:t>硫酸铵水溶液呈酸性，不溶于醇、丙酮和氨。有吸湿</w:t>
            </w:r>
            <w:r>
              <w:rPr>
                <w:rFonts w:cs="Times New Roman"/>
                <w:color w:val="000000" w:themeColor="text1"/>
                <w:spacing w:val="7"/>
                <w:kern w:val="0"/>
                <w:szCs w:val="20"/>
                <w14:textFill>
                  <w14:solidFill>
                    <w14:schemeClr w14:val="tx1"/>
                  </w14:solidFill>
                </w14:textFill>
              </w:rPr>
              <w:t>性，吸湿后固结成块。加热到513C以上完全分</w:t>
            </w:r>
            <w:r>
              <w:rPr>
                <w:rFonts w:cs="Times New Roman"/>
                <w:color w:val="000000" w:themeColor="text1"/>
                <w:spacing w:val="6"/>
                <w:kern w:val="0"/>
                <w:szCs w:val="20"/>
                <w14:textFill>
                  <w14:solidFill>
                    <w14:schemeClr w14:val="tx1"/>
                  </w14:solidFill>
                </w14:textFill>
              </w:rPr>
              <w:t>解成</w:t>
            </w:r>
            <w:r>
              <w:rPr>
                <w:rFonts w:cs="Times New Roman"/>
                <w:color w:val="000000" w:themeColor="text1"/>
                <w:spacing w:val="9"/>
                <w:kern w:val="0"/>
                <w:szCs w:val="20"/>
                <w14:textFill>
                  <w14:solidFill>
                    <w14:schemeClr w14:val="tx1"/>
                  </w14:solidFill>
                </w14:textFill>
              </w:rPr>
              <w:t>氨气、氮气、二氧化硫及水。硫酸铵与碱类作用则放出氨气。与氯化钡溶液反应生成硫酸钡沉淀。也可以</w:t>
            </w:r>
            <w:r>
              <w:rPr>
                <w:rFonts w:cs="Times New Roman"/>
                <w:color w:val="000000" w:themeColor="text1"/>
                <w:spacing w:val="7"/>
                <w:kern w:val="0"/>
                <w:szCs w:val="20"/>
                <w14:textFill>
                  <w14:solidFill>
                    <w14:schemeClr w14:val="tx1"/>
                  </w14:solidFill>
                </w14:textFill>
              </w:rPr>
              <w:t>使蛋白质发生盐析。</w:t>
            </w:r>
          </w:p>
        </w:tc>
        <w:tc>
          <w:tcPr>
            <w:tcW w:w="2194" w:type="dxa"/>
            <w:vAlign w:val="center"/>
          </w:tcPr>
          <w:p w14:paraId="1BB4BB5B">
            <w:pPr>
              <w:pStyle w:val="188"/>
              <w:ind w:firstLine="416" w:firstLineChars="200"/>
              <w:jc w:val="both"/>
              <w:rPr>
                <w:rFonts w:cs="Times New Roman"/>
                <w:color w:val="000000" w:themeColor="text1"/>
                <w:kern w:val="0"/>
                <w:szCs w:val="20"/>
                <w14:textFill>
                  <w14:solidFill>
                    <w14:schemeClr w14:val="tx1"/>
                  </w14:solidFill>
                </w14:textFill>
              </w:rPr>
            </w:pPr>
            <w:r>
              <w:rPr>
                <w:rFonts w:cs="Times New Roman"/>
                <w:color w:val="000000" w:themeColor="text1"/>
                <w:spacing w:val="-1"/>
                <w:kern w:val="0"/>
                <w:szCs w:val="20"/>
                <w14:textFill>
                  <w14:solidFill>
                    <w14:schemeClr w14:val="tx1"/>
                  </w14:solidFill>
                </w14:textFill>
              </w:rPr>
              <w:t>毒性终点浓度-1为</w:t>
            </w:r>
            <w:r>
              <w:rPr>
                <w:rFonts w:cs="Times New Roman"/>
                <w:color w:val="000000" w:themeColor="text1"/>
                <w:spacing w:val="8"/>
                <w:kern w:val="0"/>
                <w:szCs w:val="20"/>
                <w14:textFill>
                  <w14:solidFill>
                    <w14:schemeClr w14:val="tx1"/>
                  </w14:solidFill>
                </w14:textFill>
              </w:rPr>
              <w:t>840</w:t>
            </w:r>
            <w:r>
              <w:rPr>
                <w:rFonts w:cs="Times New Roman"/>
                <w:color w:val="000000" w:themeColor="text1"/>
                <w:kern w:val="0"/>
                <w:szCs w:val="20"/>
                <w14:textFill>
                  <w14:solidFill>
                    <w14:schemeClr w14:val="tx1"/>
                  </w14:solidFill>
                </w14:textFill>
              </w:rPr>
              <w:t>mg</w:t>
            </w:r>
            <w:r>
              <w:rPr>
                <w:rFonts w:cs="Times New Roman"/>
                <w:color w:val="000000" w:themeColor="text1"/>
                <w:spacing w:val="8"/>
                <w:kern w:val="0"/>
                <w:szCs w:val="20"/>
                <w14:textFill>
                  <w14:solidFill>
                    <w14:schemeClr w14:val="tx1"/>
                  </w14:solidFill>
                </w14:textFill>
              </w:rPr>
              <w:t>/m</w:t>
            </w:r>
            <w:r>
              <w:rPr>
                <w:rFonts w:cs="Times New Roman"/>
                <w:color w:val="000000" w:themeColor="text1"/>
                <w:spacing w:val="8"/>
                <w:kern w:val="0"/>
                <w:szCs w:val="20"/>
                <w:vertAlign w:val="superscript"/>
                <w14:textFill>
                  <w14:solidFill>
                    <w14:schemeClr w14:val="tx1"/>
                  </w14:solidFill>
                </w14:textFill>
              </w:rPr>
              <w:t>3</w:t>
            </w:r>
            <w:r>
              <w:rPr>
                <w:rFonts w:cs="Times New Roman"/>
                <w:color w:val="000000" w:themeColor="text1"/>
                <w:spacing w:val="8"/>
                <w:kern w:val="0"/>
                <w:szCs w:val="20"/>
                <w14:textFill>
                  <w14:solidFill>
                    <w14:schemeClr w14:val="tx1"/>
                  </w14:solidFill>
                </w14:textFill>
              </w:rPr>
              <w:t>；毒性终点</w:t>
            </w:r>
            <w:r>
              <w:rPr>
                <w:rFonts w:cs="Times New Roman"/>
                <w:color w:val="000000" w:themeColor="text1"/>
                <w:spacing w:val="2"/>
                <w:kern w:val="0"/>
                <w:szCs w:val="20"/>
                <w14:textFill>
                  <w14:solidFill>
                    <w14:schemeClr w14:val="tx1"/>
                  </w14:solidFill>
                </w14:textFill>
              </w:rPr>
              <w:t>浓度-2为140</w:t>
            </w:r>
            <w:r>
              <w:rPr>
                <w:rFonts w:cs="Times New Roman"/>
                <w:color w:val="000000" w:themeColor="text1"/>
                <w:kern w:val="0"/>
                <w:szCs w:val="20"/>
                <w14:textFill>
                  <w14:solidFill>
                    <w14:schemeClr w14:val="tx1"/>
                  </w14:solidFill>
                </w14:textFill>
              </w:rPr>
              <w:t>mg</w:t>
            </w:r>
            <w:r>
              <w:rPr>
                <w:rFonts w:cs="Times New Roman"/>
                <w:color w:val="000000" w:themeColor="text1"/>
                <w:spacing w:val="2"/>
                <w:kern w:val="0"/>
                <w:szCs w:val="20"/>
                <w14:textFill>
                  <w14:solidFill>
                    <w14:schemeClr w14:val="tx1"/>
                  </w14:solidFill>
                </w14:textFill>
              </w:rPr>
              <w:t>/m</w:t>
            </w:r>
            <w:r>
              <w:rPr>
                <w:rFonts w:cs="Times New Roman"/>
                <w:color w:val="000000" w:themeColor="text1"/>
                <w:spacing w:val="2"/>
                <w:kern w:val="0"/>
                <w:szCs w:val="20"/>
                <w:vertAlign w:val="superscript"/>
                <w14:textFill>
                  <w14:solidFill>
                    <w14:schemeClr w14:val="tx1"/>
                  </w14:solidFill>
                </w14:textFill>
              </w:rPr>
              <w:t>3</w:t>
            </w:r>
            <w:r>
              <w:rPr>
                <w:rFonts w:cs="Times New Roman"/>
                <w:color w:val="000000" w:themeColor="text1"/>
                <w:spacing w:val="2"/>
                <w:kern w:val="0"/>
                <w:szCs w:val="20"/>
                <w14:textFill>
                  <w14:solidFill>
                    <w14:schemeClr w14:val="tx1"/>
                  </w14:solidFill>
                </w14:textFill>
              </w:rPr>
              <w:t>。</w:t>
            </w:r>
          </w:p>
        </w:tc>
        <w:tc>
          <w:tcPr>
            <w:tcW w:w="793" w:type="dxa"/>
            <w:vAlign w:val="center"/>
          </w:tcPr>
          <w:p w14:paraId="63BFE764">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r>
    </w:tbl>
    <w:p w14:paraId="034D4B5F">
      <w:pPr>
        <w:pStyle w:val="186"/>
        <w:ind w:firstLine="474"/>
        <w:rPr>
          <w:rFonts w:cs="Times New Roman"/>
          <w:b/>
          <w:bCs/>
          <w:color w:val="000000" w:themeColor="text1"/>
          <w:spacing w:val="-2"/>
          <w:kern w:val="0"/>
          <w:szCs w:val="24"/>
          <w14:textFill>
            <w14:solidFill>
              <w14:schemeClr w14:val="tx1"/>
            </w14:solidFill>
          </w14:textFill>
        </w:rPr>
      </w:pPr>
    </w:p>
    <w:p w14:paraId="31CBCC49">
      <w:pPr>
        <w:pStyle w:val="186"/>
        <w:ind w:firstLine="474"/>
        <w:rPr>
          <w:rFonts w:cs="Times New Roman"/>
          <w:b/>
          <w:bCs/>
          <w:color w:val="000000" w:themeColor="text1"/>
          <w:spacing w:val="-2"/>
          <w:kern w:val="0"/>
          <w:szCs w:val="24"/>
          <w14:textFill>
            <w14:solidFill>
              <w14:schemeClr w14:val="tx1"/>
            </w14:solidFill>
          </w14:textFill>
        </w:rPr>
      </w:pPr>
    </w:p>
    <w:p w14:paraId="755FFA28">
      <w:pPr>
        <w:pStyle w:val="186"/>
        <w:ind w:firstLine="474"/>
        <w:rPr>
          <w:rFonts w:cs="Times New Roman"/>
          <w:b/>
          <w:bCs/>
          <w:color w:val="000000" w:themeColor="text1"/>
          <w:spacing w:val="-2"/>
          <w:kern w:val="0"/>
          <w:szCs w:val="24"/>
          <w14:textFill>
            <w14:solidFill>
              <w14:schemeClr w14:val="tx1"/>
            </w14:solidFill>
          </w14:textFill>
        </w:rPr>
      </w:pPr>
    </w:p>
    <w:p w14:paraId="7AD7E834">
      <w:pPr>
        <w:pStyle w:val="186"/>
        <w:ind w:firstLine="474"/>
        <w:rPr>
          <w:rFonts w:cs="Times New Roman"/>
          <w:b/>
          <w:bCs/>
          <w:color w:val="000000" w:themeColor="text1"/>
          <w:spacing w:val="-2"/>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7.2生产系统危险性识别</w:t>
      </w:r>
    </w:p>
    <w:p w14:paraId="772009C9">
      <w:pPr>
        <w:pStyle w:val="186"/>
        <w:ind w:firstLine="504"/>
        <w:rPr>
          <w:rFonts w:cs="Times New Roman"/>
          <w:color w:val="000000" w:themeColor="text1"/>
          <w:kern w:val="0"/>
          <w:szCs w:val="24"/>
          <w14:textFill>
            <w14:solidFill>
              <w14:schemeClr w14:val="tx1"/>
            </w14:solidFill>
          </w14:textFill>
        </w:rPr>
      </w:pPr>
      <w:r>
        <w:rPr>
          <w:rFonts w:cs="Times New Roman"/>
          <w:color w:val="000000" w:themeColor="text1"/>
          <w:spacing w:val="6"/>
          <w:kern w:val="0"/>
          <w:szCs w:val="24"/>
          <w14:textFill>
            <w14:solidFill>
              <w14:schemeClr w14:val="tx1"/>
            </w14:solidFill>
          </w14:textFill>
        </w:rPr>
        <w:t>本项目生产系统危险单元主要为原料库房，危</w:t>
      </w:r>
      <w:r>
        <w:rPr>
          <w:rFonts w:cs="Times New Roman"/>
          <w:color w:val="000000" w:themeColor="text1"/>
          <w:spacing w:val="5"/>
          <w:kern w:val="0"/>
          <w:szCs w:val="24"/>
          <w14:textFill>
            <w14:solidFill>
              <w14:schemeClr w14:val="tx1"/>
            </w14:solidFill>
          </w14:textFill>
        </w:rPr>
        <w:t>险单元内风险源分析情况如下表</w:t>
      </w:r>
      <w:r>
        <w:rPr>
          <w:rFonts w:cs="Times New Roman"/>
          <w:color w:val="000000" w:themeColor="text1"/>
          <w:spacing w:val="-2"/>
          <w:kern w:val="0"/>
          <w:szCs w:val="24"/>
          <w14:textFill>
            <w14:solidFill>
              <w14:schemeClr w14:val="tx1"/>
            </w14:solidFill>
          </w14:textFill>
        </w:rPr>
        <w:t>，项目平面布置及危险源分布情况见图。</w:t>
      </w:r>
    </w:p>
    <w:p w14:paraId="259811E9">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生产系统危险性识别结果表</w:t>
      </w:r>
    </w:p>
    <w:tbl>
      <w:tblPr>
        <w:tblStyle w:val="171"/>
        <w:tblW w:w="9060"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0"/>
        <w:gridCol w:w="2171"/>
        <w:gridCol w:w="1157"/>
        <w:gridCol w:w="1619"/>
        <w:gridCol w:w="2433"/>
        <w:gridCol w:w="990"/>
      </w:tblGrid>
      <w:tr w14:paraId="316B3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0" w:hRule="atLeast"/>
        </w:trPr>
        <w:tc>
          <w:tcPr>
            <w:tcW w:w="690" w:type="dxa"/>
          </w:tcPr>
          <w:p w14:paraId="47C3F127">
            <w:pPr>
              <w:kinsoku w:val="0"/>
              <w:autoSpaceDE w:val="0"/>
              <w:autoSpaceDN w:val="0"/>
              <w:adjustRightInd w:val="0"/>
              <w:snapToGrid w:val="0"/>
              <w:spacing w:before="36" w:line="216" w:lineRule="auto"/>
              <w:ind w:left="139"/>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序号</w:t>
            </w:r>
          </w:p>
        </w:tc>
        <w:tc>
          <w:tcPr>
            <w:tcW w:w="2171" w:type="dxa"/>
          </w:tcPr>
          <w:p w14:paraId="6ADB614F">
            <w:pPr>
              <w:kinsoku w:val="0"/>
              <w:autoSpaceDE w:val="0"/>
              <w:autoSpaceDN w:val="0"/>
              <w:adjustRightInd w:val="0"/>
              <w:snapToGrid w:val="0"/>
              <w:spacing w:before="36" w:line="216" w:lineRule="auto"/>
              <w:ind w:left="672"/>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危险单元</w:t>
            </w:r>
          </w:p>
        </w:tc>
        <w:tc>
          <w:tcPr>
            <w:tcW w:w="1157" w:type="dxa"/>
          </w:tcPr>
          <w:p w14:paraId="4B652ED9">
            <w:pPr>
              <w:kinsoku w:val="0"/>
              <w:autoSpaceDE w:val="0"/>
              <w:autoSpaceDN w:val="0"/>
              <w:adjustRightInd w:val="0"/>
              <w:snapToGrid w:val="0"/>
              <w:spacing w:before="36" w:line="216" w:lineRule="auto"/>
              <w:ind w:left="166"/>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危险物质</w:t>
            </w:r>
          </w:p>
        </w:tc>
        <w:tc>
          <w:tcPr>
            <w:tcW w:w="1619" w:type="dxa"/>
          </w:tcPr>
          <w:p w14:paraId="1045C403">
            <w:pPr>
              <w:kinsoku w:val="0"/>
              <w:autoSpaceDE w:val="0"/>
              <w:autoSpaceDN w:val="0"/>
              <w:adjustRightInd w:val="0"/>
              <w:snapToGrid w:val="0"/>
              <w:spacing w:before="36" w:line="216" w:lineRule="auto"/>
              <w:ind w:right="9"/>
              <w:jc w:val="righ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最大存在量（t）</w:t>
            </w:r>
          </w:p>
        </w:tc>
        <w:tc>
          <w:tcPr>
            <w:tcW w:w="2433" w:type="dxa"/>
          </w:tcPr>
          <w:p w14:paraId="20003AE3">
            <w:pPr>
              <w:kinsoku w:val="0"/>
              <w:autoSpaceDE w:val="0"/>
              <w:autoSpaceDN w:val="0"/>
              <w:adjustRightInd w:val="0"/>
              <w:snapToGrid w:val="0"/>
              <w:spacing w:before="36" w:line="216" w:lineRule="auto"/>
              <w:ind w:left="909"/>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风险源</w:t>
            </w:r>
          </w:p>
        </w:tc>
        <w:tc>
          <w:tcPr>
            <w:tcW w:w="990" w:type="dxa"/>
          </w:tcPr>
          <w:p w14:paraId="364C0EEF">
            <w:pPr>
              <w:kinsoku w:val="0"/>
              <w:autoSpaceDE w:val="0"/>
              <w:autoSpaceDN w:val="0"/>
              <w:adjustRightInd w:val="0"/>
              <w:snapToGrid w:val="0"/>
              <w:spacing w:before="36" w:line="216" w:lineRule="auto"/>
              <w:ind w:left="293"/>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备注</w:t>
            </w:r>
          </w:p>
        </w:tc>
      </w:tr>
      <w:tr w14:paraId="53D32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690" w:type="dxa"/>
          </w:tcPr>
          <w:p w14:paraId="0D686C90">
            <w:pPr>
              <w:widowControl/>
              <w:kinsoku w:val="0"/>
              <w:autoSpaceDE w:val="0"/>
              <w:autoSpaceDN w:val="0"/>
              <w:adjustRightInd w:val="0"/>
              <w:snapToGrid w:val="0"/>
              <w:spacing w:before="96" w:line="195" w:lineRule="auto"/>
              <w:ind w:left="315"/>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1</w:t>
            </w:r>
          </w:p>
        </w:tc>
        <w:tc>
          <w:tcPr>
            <w:tcW w:w="2171" w:type="dxa"/>
          </w:tcPr>
          <w:p w14:paraId="6D9A8033">
            <w:pPr>
              <w:kinsoku w:val="0"/>
              <w:autoSpaceDE w:val="0"/>
              <w:autoSpaceDN w:val="0"/>
              <w:adjustRightInd w:val="0"/>
              <w:snapToGrid w:val="0"/>
              <w:spacing w:before="60" w:line="228" w:lineRule="auto"/>
              <w:ind w:left="674"/>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原料库房</w:t>
            </w:r>
          </w:p>
        </w:tc>
        <w:tc>
          <w:tcPr>
            <w:tcW w:w="1157" w:type="dxa"/>
          </w:tcPr>
          <w:p w14:paraId="4D8AA17B">
            <w:pPr>
              <w:kinsoku w:val="0"/>
              <w:autoSpaceDE w:val="0"/>
              <w:autoSpaceDN w:val="0"/>
              <w:adjustRightInd w:val="0"/>
              <w:snapToGrid w:val="0"/>
              <w:spacing w:before="60" w:line="229" w:lineRule="auto"/>
              <w:ind w:left="269"/>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硫酸铵</w:t>
            </w:r>
          </w:p>
        </w:tc>
        <w:tc>
          <w:tcPr>
            <w:tcW w:w="1619" w:type="dxa"/>
          </w:tcPr>
          <w:p w14:paraId="1CACF6BF">
            <w:pPr>
              <w:widowControl/>
              <w:kinsoku w:val="0"/>
              <w:autoSpaceDE w:val="0"/>
              <w:autoSpaceDN w:val="0"/>
              <w:adjustRightInd w:val="0"/>
              <w:snapToGrid w:val="0"/>
              <w:spacing w:before="96" w:line="195" w:lineRule="auto"/>
              <w:ind w:left="526"/>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3"/>
                <w:kern w:val="0"/>
                <w:szCs w:val="20"/>
                <w14:textFill>
                  <w14:solidFill>
                    <w14:schemeClr w14:val="tx1"/>
                  </w14:solidFill>
                </w14:textFill>
              </w:rPr>
              <w:t>84</w:t>
            </w:r>
          </w:p>
        </w:tc>
        <w:tc>
          <w:tcPr>
            <w:tcW w:w="2433" w:type="dxa"/>
          </w:tcPr>
          <w:p w14:paraId="677A0C22">
            <w:pPr>
              <w:kinsoku w:val="0"/>
              <w:autoSpaceDE w:val="0"/>
              <w:autoSpaceDN w:val="0"/>
              <w:adjustRightInd w:val="0"/>
              <w:snapToGrid w:val="0"/>
              <w:spacing w:before="60" w:line="228" w:lineRule="auto"/>
              <w:ind w:left="388"/>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原料及成品包装袋</w:t>
            </w:r>
          </w:p>
        </w:tc>
        <w:tc>
          <w:tcPr>
            <w:tcW w:w="990" w:type="dxa"/>
          </w:tcPr>
          <w:p w14:paraId="51947221">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r>
    </w:tbl>
    <w:p w14:paraId="27836B93">
      <w:pPr>
        <w:pStyle w:val="186"/>
        <w:ind w:firstLine="474"/>
        <w:rPr>
          <w:rFonts w:cs="Times New Roman"/>
          <w:color w:val="000000" w:themeColor="text1"/>
          <w:kern w:val="0"/>
          <w:szCs w:val="24"/>
          <w:lang w:eastAsia="en-US"/>
          <w14:textFill>
            <w14:solidFill>
              <w14:schemeClr w14:val="tx1"/>
            </w14:solidFill>
          </w14:textFill>
        </w:rPr>
      </w:pPr>
      <w:r>
        <w:rPr>
          <w:rFonts w:cs="Times New Roman"/>
          <w:b/>
          <w:bCs/>
          <w:color w:val="000000" w:themeColor="text1"/>
          <w:spacing w:val="-2"/>
          <w:kern w:val="0"/>
          <w:szCs w:val="24"/>
          <w:lang w:eastAsia="en-US"/>
          <w14:textFill>
            <w14:solidFill>
              <w14:schemeClr w14:val="tx1"/>
            </w14:solidFill>
          </w14:textFill>
        </w:rPr>
        <w:t>7.2.1潜在风险源分析</w:t>
      </w:r>
    </w:p>
    <w:p w14:paraId="480D91A7">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结合本项目情况，项目风险源分析结果如下表。</w:t>
      </w:r>
    </w:p>
    <w:p w14:paraId="1FB6AF29">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风险源的危险性、存在条件和触发因素</w:t>
      </w:r>
    </w:p>
    <w:tbl>
      <w:tblPr>
        <w:tblStyle w:val="171"/>
        <w:tblW w:w="9059"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8"/>
        <w:gridCol w:w="1338"/>
        <w:gridCol w:w="1111"/>
        <w:gridCol w:w="852"/>
        <w:gridCol w:w="2035"/>
        <w:gridCol w:w="3005"/>
      </w:tblGrid>
      <w:tr w14:paraId="493D5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18" w:type="dxa"/>
          </w:tcPr>
          <w:p w14:paraId="1CD107FB">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序号</w:t>
            </w:r>
          </w:p>
        </w:tc>
        <w:tc>
          <w:tcPr>
            <w:tcW w:w="1338" w:type="dxa"/>
          </w:tcPr>
          <w:p w14:paraId="3364EA1B">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危险单元</w:t>
            </w:r>
          </w:p>
        </w:tc>
        <w:tc>
          <w:tcPr>
            <w:tcW w:w="1111" w:type="dxa"/>
          </w:tcPr>
          <w:p w14:paraId="047C52F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危险物质</w:t>
            </w:r>
          </w:p>
        </w:tc>
        <w:tc>
          <w:tcPr>
            <w:tcW w:w="852" w:type="dxa"/>
          </w:tcPr>
          <w:p w14:paraId="65CB4E43">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危险性</w:t>
            </w:r>
          </w:p>
        </w:tc>
        <w:tc>
          <w:tcPr>
            <w:tcW w:w="2035" w:type="dxa"/>
          </w:tcPr>
          <w:p w14:paraId="4F2ADF9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存在条件</w:t>
            </w:r>
          </w:p>
        </w:tc>
        <w:tc>
          <w:tcPr>
            <w:tcW w:w="3005" w:type="dxa"/>
          </w:tcPr>
          <w:p w14:paraId="142F0BD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触发因素</w:t>
            </w:r>
          </w:p>
        </w:tc>
      </w:tr>
      <w:tr w14:paraId="6025B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8" w:type="dxa"/>
            <w:vAlign w:val="center"/>
          </w:tcPr>
          <w:p w14:paraId="33D3963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1</w:t>
            </w:r>
          </w:p>
        </w:tc>
        <w:tc>
          <w:tcPr>
            <w:tcW w:w="1338" w:type="dxa"/>
            <w:vAlign w:val="center"/>
          </w:tcPr>
          <w:p w14:paraId="4D8A7B6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原料库房</w:t>
            </w:r>
          </w:p>
        </w:tc>
        <w:tc>
          <w:tcPr>
            <w:tcW w:w="1111" w:type="dxa"/>
            <w:vAlign w:val="center"/>
          </w:tcPr>
          <w:p w14:paraId="62E40FF6">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硫酸铵</w:t>
            </w:r>
          </w:p>
        </w:tc>
        <w:tc>
          <w:tcPr>
            <w:tcW w:w="852" w:type="dxa"/>
            <w:vAlign w:val="center"/>
          </w:tcPr>
          <w:p w14:paraId="60D3CDB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中毒</w:t>
            </w:r>
          </w:p>
        </w:tc>
        <w:tc>
          <w:tcPr>
            <w:tcW w:w="2035" w:type="dxa"/>
            <w:tcBorders>
              <w:bottom w:val="single" w:color="000000" w:sz="2" w:space="0"/>
            </w:tcBorders>
            <w:vAlign w:val="center"/>
          </w:tcPr>
          <w:p w14:paraId="213E71F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原料及成品包装袋</w:t>
            </w:r>
          </w:p>
        </w:tc>
        <w:tc>
          <w:tcPr>
            <w:tcW w:w="3005" w:type="dxa"/>
            <w:tcBorders>
              <w:bottom w:val="single" w:color="000000" w:sz="2" w:space="0"/>
            </w:tcBorders>
          </w:tcPr>
          <w:p w14:paraId="4DDE8DFC">
            <w:pPr>
              <w:kinsoku w:val="0"/>
              <w:autoSpaceDE w:val="0"/>
              <w:autoSpaceDN w:val="0"/>
              <w:adjustRightInd w:val="0"/>
              <w:snapToGrid w:val="0"/>
              <w:ind w:right="137" w:hanging="742"/>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储存设施设备破损或人工操作</w:t>
            </w:r>
            <w:r>
              <w:rPr>
                <w:rFonts w:eastAsia="宋体"/>
                <w:snapToGrid w:val="0"/>
                <w:color w:val="000000" w:themeColor="text1"/>
                <w:spacing w:val="7"/>
                <w:kern w:val="0"/>
                <w:szCs w:val="20"/>
                <w14:textFill>
                  <w14:solidFill>
                    <w14:schemeClr w14:val="tx1"/>
                  </w14:solidFill>
                </w14:textFill>
              </w:rPr>
              <w:t>失误致使泄漏</w:t>
            </w:r>
          </w:p>
        </w:tc>
      </w:tr>
    </w:tbl>
    <w:p w14:paraId="1211DA0C">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7.2.2重点风险源筛选</w:t>
      </w:r>
    </w:p>
    <w:p w14:paraId="5D6C1A51">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项目主要危险物质有硫酸铵，</w:t>
      </w:r>
      <w:r>
        <w:rPr>
          <w:rFonts w:cs="Times New Roman"/>
          <w:color w:val="000000" w:themeColor="text1"/>
          <w:kern w:val="0"/>
          <w:szCs w:val="24"/>
          <w14:textFill>
            <w14:solidFill>
              <w14:schemeClr w14:val="tx1"/>
            </w14:solidFill>
          </w14:textFill>
        </w:rPr>
        <w:t>若场界地面防渗失效，通过地下渗透的途径将对地下</w:t>
      </w:r>
      <w:r>
        <w:rPr>
          <w:rFonts w:cs="Times New Roman"/>
          <w:color w:val="000000" w:themeColor="text1"/>
          <w:spacing w:val="-1"/>
          <w:kern w:val="0"/>
          <w:szCs w:val="24"/>
          <w14:textFill>
            <w14:solidFill>
              <w14:schemeClr w14:val="tx1"/>
            </w14:solidFill>
          </w14:textFill>
        </w:rPr>
        <w:t>水及土壤造成污染。</w:t>
      </w:r>
    </w:p>
    <w:p w14:paraId="756C6CB3">
      <w:pPr>
        <w:pStyle w:val="186"/>
        <w:ind w:firstLine="476"/>
        <w:rPr>
          <w:rFonts w:cs="Times New Roman"/>
          <w:color w:val="000000" w:themeColor="text1"/>
          <w:szCs w:val="24"/>
          <w14:textFill>
            <w14:solidFill>
              <w14:schemeClr w14:val="tx1"/>
            </w14:solidFill>
          </w14:textFill>
        </w:rPr>
        <w:sectPr>
          <w:footerReference r:id="rId13" w:type="default"/>
          <w:pgSz w:w="11906" w:h="16839"/>
          <w:pgMar w:top="1431" w:right="1418" w:bottom="958" w:left="1418" w:header="0" w:footer="695" w:gutter="0"/>
          <w:cols w:space="720" w:num="1"/>
        </w:sectPr>
      </w:pPr>
      <w:r>
        <w:rPr>
          <w:rFonts w:cs="Times New Roman"/>
          <w:color w:val="000000" w:themeColor="text1"/>
          <w:spacing w:val="-1"/>
          <w:kern w:val="0"/>
          <w:szCs w:val="24"/>
          <w14:textFill>
            <w14:solidFill>
              <w14:schemeClr w14:val="tx1"/>
            </w14:solidFill>
          </w14:textFill>
        </w:rPr>
        <w:t>综合物质危险性识别及生产过程潜在危险性识</w:t>
      </w:r>
      <w:r>
        <w:rPr>
          <w:rFonts w:cs="Times New Roman"/>
          <w:color w:val="000000" w:themeColor="text1"/>
          <w:spacing w:val="-2"/>
          <w:kern w:val="0"/>
          <w:szCs w:val="24"/>
          <w14:textFill>
            <w14:solidFill>
              <w14:schemeClr w14:val="tx1"/>
            </w14:solidFill>
          </w14:textFill>
        </w:rPr>
        <w:t>别，选择可燃或有爆炸危险性、或</w:t>
      </w:r>
      <w:r>
        <w:rPr>
          <w:rFonts w:cs="Times New Roman"/>
          <w:color w:val="000000" w:themeColor="text1"/>
          <w:spacing w:val="-1"/>
          <w:kern w:val="0"/>
          <w:szCs w:val="24"/>
          <w14:textFill>
            <w14:solidFill>
              <w14:schemeClr w14:val="tx1"/>
            </w14:solidFill>
          </w14:textFill>
        </w:rPr>
        <w:t>有毒性的气体、液体作为风险评价因子。本次评价筛选大气重点</w:t>
      </w:r>
      <w:r>
        <w:rPr>
          <w:rFonts w:cs="Times New Roman"/>
          <w:color w:val="000000" w:themeColor="text1"/>
          <w:spacing w:val="-2"/>
          <w:kern w:val="0"/>
          <w:szCs w:val="24"/>
          <w14:textFill>
            <w14:solidFill>
              <w14:schemeClr w14:val="tx1"/>
            </w14:solidFill>
          </w14:textFill>
        </w:rPr>
        <w:t>风险源为原料库房的</w:t>
      </w:r>
      <w:r>
        <w:rPr>
          <w:rFonts w:cs="Times New Roman"/>
          <w:color w:val="000000" w:themeColor="text1"/>
          <w:kern w:val="0"/>
          <w:szCs w:val="24"/>
          <w14:textFill>
            <w14:solidFill>
              <w14:schemeClr w14:val="tx1"/>
            </w14:solidFill>
          </w14:textFill>
        </w:rPr>
        <w:t>硫酸铵包装袋破损泄漏，对人体健康的危害以及</w:t>
      </w:r>
      <w:r>
        <w:rPr>
          <w:rFonts w:cs="Times New Roman"/>
          <w:color w:val="000000" w:themeColor="text1"/>
          <w:spacing w:val="-1"/>
          <w:kern w:val="0"/>
          <w:szCs w:val="24"/>
          <w14:textFill>
            <w14:solidFill>
              <w14:schemeClr w14:val="tx1"/>
            </w14:solidFill>
          </w14:textFill>
        </w:rPr>
        <w:t>大气、水环境的污染。</w:t>
      </w:r>
    </w:p>
    <w:p w14:paraId="585FEF27">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7.3环境风险类型及危害分析</w:t>
      </w:r>
    </w:p>
    <w:p w14:paraId="67FE640C">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根据有毒有害物质放散起因，风险类型包括危险物质</w:t>
      </w:r>
      <w:r>
        <w:rPr>
          <w:rFonts w:cs="Times New Roman"/>
          <w:color w:val="000000" w:themeColor="text1"/>
          <w:spacing w:val="-2"/>
          <w:kern w:val="0"/>
          <w:szCs w:val="24"/>
          <w14:textFill>
            <w14:solidFill>
              <w14:schemeClr w14:val="tx1"/>
            </w14:solidFill>
          </w14:textFill>
        </w:rPr>
        <w:t>泄漏，以及火灾、爆炸等引</w:t>
      </w:r>
      <w:r>
        <w:rPr>
          <w:rFonts w:cs="Times New Roman"/>
          <w:color w:val="000000" w:themeColor="text1"/>
          <w:spacing w:val="-7"/>
          <w:kern w:val="0"/>
          <w:szCs w:val="24"/>
          <w14:textFill>
            <w14:solidFill>
              <w14:schemeClr w14:val="tx1"/>
            </w14:solidFill>
          </w14:textFill>
        </w:rPr>
        <w:t>发的伴生/次生污染物排放。工程存在的主要危险因素有两种，一是自然因素，如</w:t>
      </w:r>
      <w:r>
        <w:rPr>
          <w:rFonts w:cs="Times New Roman"/>
          <w:color w:val="000000" w:themeColor="text1"/>
          <w:spacing w:val="-8"/>
          <w:kern w:val="0"/>
          <w:szCs w:val="24"/>
          <w14:textFill>
            <w14:solidFill>
              <w14:schemeClr w14:val="tx1"/>
            </w14:solidFill>
          </w14:textFill>
        </w:rPr>
        <w:t>暴雨、</w:t>
      </w:r>
      <w:r>
        <w:rPr>
          <w:rFonts w:cs="Times New Roman"/>
          <w:color w:val="000000" w:themeColor="text1"/>
          <w:spacing w:val="-1"/>
          <w:kern w:val="0"/>
          <w:szCs w:val="24"/>
          <w14:textFill>
            <w14:solidFill>
              <w14:schemeClr w14:val="tx1"/>
            </w14:solidFill>
          </w14:textFill>
        </w:rPr>
        <w:t>雷击、地震等自然因素均可引发事故；另一种是人为因</w:t>
      </w:r>
      <w:r>
        <w:rPr>
          <w:rFonts w:cs="Times New Roman"/>
          <w:color w:val="000000" w:themeColor="text1"/>
          <w:spacing w:val="-2"/>
          <w:kern w:val="0"/>
          <w:szCs w:val="24"/>
          <w14:textFill>
            <w14:solidFill>
              <w14:schemeClr w14:val="tx1"/>
            </w14:solidFill>
          </w14:textFill>
        </w:rPr>
        <w:t>素引发事故发生。一般自然因</w:t>
      </w:r>
      <w:r>
        <w:rPr>
          <w:rFonts w:cs="Times New Roman"/>
          <w:color w:val="000000" w:themeColor="text1"/>
          <w:spacing w:val="-1"/>
          <w:kern w:val="0"/>
          <w:szCs w:val="24"/>
          <w14:textFill>
            <w14:solidFill>
              <w14:schemeClr w14:val="tx1"/>
            </w14:solidFill>
          </w14:textFill>
        </w:rPr>
        <w:t>素引发的事故可通过安全装备的投用，如增加紧急停车</w:t>
      </w:r>
      <w:r>
        <w:rPr>
          <w:rFonts w:cs="Times New Roman"/>
          <w:color w:val="000000" w:themeColor="text1"/>
          <w:spacing w:val="-2"/>
          <w:kern w:val="0"/>
          <w:szCs w:val="24"/>
          <w14:textFill>
            <w14:solidFill>
              <w14:schemeClr w14:val="tx1"/>
            </w14:solidFill>
          </w14:textFill>
        </w:rPr>
        <w:t>或关闭系统、提高设施的抗震</w:t>
      </w:r>
      <w:r>
        <w:rPr>
          <w:rFonts w:cs="Times New Roman"/>
          <w:color w:val="000000" w:themeColor="text1"/>
          <w:spacing w:val="-1"/>
          <w:kern w:val="0"/>
          <w:szCs w:val="24"/>
          <w14:textFill>
            <w14:solidFill>
              <w14:schemeClr w14:val="tx1"/>
            </w14:solidFill>
          </w14:textFill>
        </w:rPr>
        <w:t>强度、防雷电等手段来实现装置的本质安全，而人为因</w:t>
      </w:r>
      <w:r>
        <w:rPr>
          <w:rFonts w:cs="Times New Roman"/>
          <w:color w:val="000000" w:themeColor="text1"/>
          <w:spacing w:val="-2"/>
          <w:kern w:val="0"/>
          <w:szCs w:val="24"/>
          <w14:textFill>
            <w14:solidFill>
              <w14:schemeClr w14:val="tx1"/>
            </w14:solidFill>
          </w14:textFill>
        </w:rPr>
        <w:t>素是一种动态的、难以控制的</w:t>
      </w:r>
      <w:r>
        <w:rPr>
          <w:rFonts w:cs="Times New Roman"/>
          <w:color w:val="000000" w:themeColor="text1"/>
          <w:spacing w:val="-1"/>
          <w:kern w:val="0"/>
          <w:szCs w:val="24"/>
          <w14:textFill>
            <w14:solidFill>
              <w14:schemeClr w14:val="tx1"/>
            </w14:solidFill>
          </w14:textFill>
        </w:rPr>
        <w:t>因素，因此人为因素是引发事故的主要因素，特别是放</w:t>
      </w:r>
      <w:r>
        <w:rPr>
          <w:rFonts w:cs="Times New Roman"/>
          <w:color w:val="000000" w:themeColor="text1"/>
          <w:spacing w:val="-2"/>
          <w:kern w:val="0"/>
          <w:szCs w:val="24"/>
          <w14:textFill>
            <w14:solidFill>
              <w14:schemeClr w14:val="tx1"/>
            </w14:solidFill>
          </w14:textFill>
        </w:rPr>
        <w:t>松安全管理、违章操作或违反</w:t>
      </w:r>
      <w:r>
        <w:rPr>
          <w:rFonts w:cs="Times New Roman"/>
          <w:color w:val="000000" w:themeColor="text1"/>
          <w:kern w:val="0"/>
          <w:szCs w:val="24"/>
          <w14:textFill>
            <w14:solidFill>
              <w14:schemeClr w14:val="tx1"/>
            </w14:solidFill>
          </w14:textFill>
        </w:rPr>
        <w:t>安全管理规程都可能发生事故。根据本工程特</w:t>
      </w:r>
      <w:r>
        <w:rPr>
          <w:rFonts w:cs="Times New Roman"/>
          <w:color w:val="000000" w:themeColor="text1"/>
          <w:spacing w:val="-1"/>
          <w:kern w:val="0"/>
          <w:szCs w:val="24"/>
          <w14:textFill>
            <w14:solidFill>
              <w14:schemeClr w14:val="tx1"/>
            </w14:solidFill>
          </w14:textFill>
        </w:rPr>
        <w:t>点，可能发生的风险类型如下。</w:t>
      </w:r>
    </w:p>
    <w:p w14:paraId="02075007">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风险类型：泄漏、火灾。</w:t>
      </w:r>
    </w:p>
    <w:p w14:paraId="4C60F8F2">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风险物质为：硫酸铵。</w:t>
      </w:r>
    </w:p>
    <w:p w14:paraId="1F043FAA">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污染途径：大气、水环境的污染，以及人员伤害。</w:t>
      </w:r>
    </w:p>
    <w:p w14:paraId="500BF7B7">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危害后果：硫酸铵不燃，具有刺激性，硫酸铵泄漏后，可经呼吸道、食道和皮肤</w:t>
      </w:r>
      <w:r>
        <w:rPr>
          <w:rFonts w:cs="Times New Roman"/>
          <w:color w:val="000000" w:themeColor="text1"/>
          <w:spacing w:val="-1"/>
          <w:kern w:val="0"/>
          <w:szCs w:val="24"/>
          <w14:textFill>
            <w14:solidFill>
              <w14:schemeClr w14:val="tx1"/>
            </w14:solidFill>
          </w14:textFill>
        </w:rPr>
        <w:t>吸收进入人体，对眼睛、黏膜和皮肤有刺激作用。本项目</w:t>
      </w:r>
      <w:r>
        <w:rPr>
          <w:rFonts w:cs="Times New Roman"/>
          <w:color w:val="000000" w:themeColor="text1"/>
          <w:spacing w:val="-2"/>
          <w:kern w:val="0"/>
          <w:szCs w:val="24"/>
          <w14:textFill>
            <w14:solidFill>
              <w14:schemeClr w14:val="tx1"/>
            </w14:solidFill>
          </w14:textFill>
        </w:rPr>
        <w:t>原料库房内存</w:t>
      </w:r>
      <w:r>
        <w:rPr>
          <w:rFonts w:cs="Times New Roman"/>
          <w:color w:val="000000" w:themeColor="text1"/>
          <w:spacing w:val="-1"/>
          <w:kern w:val="0"/>
          <w:szCs w:val="24"/>
          <w14:textFill>
            <w14:solidFill>
              <w14:schemeClr w14:val="tx1"/>
            </w14:solidFill>
          </w14:textFill>
        </w:rPr>
        <w:t>储的硫酸铵受热分解产生氨气、以及氨气燃烧导致大气污染。原</w:t>
      </w:r>
      <w:r>
        <w:rPr>
          <w:rFonts w:cs="Times New Roman"/>
          <w:color w:val="000000" w:themeColor="text1"/>
          <w:spacing w:val="-2"/>
          <w:kern w:val="0"/>
          <w:szCs w:val="24"/>
          <w14:textFill>
            <w14:solidFill>
              <w14:schemeClr w14:val="tx1"/>
            </w14:solidFill>
          </w14:textFill>
        </w:rPr>
        <w:t>料使用转运过程硫酸</w:t>
      </w:r>
      <w:r>
        <w:rPr>
          <w:rFonts w:cs="Times New Roman"/>
          <w:color w:val="000000" w:themeColor="text1"/>
          <w:spacing w:val="-1"/>
          <w:kern w:val="0"/>
          <w:szCs w:val="24"/>
          <w14:textFill>
            <w14:solidFill>
              <w14:schemeClr w14:val="tx1"/>
            </w14:solidFill>
          </w14:textFill>
        </w:rPr>
        <w:t>铵洒落，硫酸铵为固体，不会流出厂区。</w:t>
      </w:r>
    </w:p>
    <w:p w14:paraId="16301252">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7.4风险识别结果</w:t>
      </w:r>
    </w:p>
    <w:p w14:paraId="53BD9996">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根据上述危险物质分析、生产系统危害性识别与环境风险类型及危害分析得知，</w:t>
      </w:r>
      <w:r>
        <w:rPr>
          <w:rFonts w:cs="Times New Roman"/>
          <w:color w:val="000000" w:themeColor="text1"/>
          <w:spacing w:val="-1"/>
          <w:kern w:val="0"/>
          <w:szCs w:val="24"/>
          <w14:textFill>
            <w14:solidFill>
              <w14:schemeClr w14:val="tx1"/>
            </w14:solidFill>
          </w14:textFill>
        </w:rPr>
        <w:t>建设项目环境风险识别汇总详见下表</w:t>
      </w:r>
      <w:r>
        <w:rPr>
          <w:rFonts w:cs="Times New Roman"/>
          <w:color w:val="000000" w:themeColor="text1"/>
          <w:spacing w:val="-2"/>
          <w:kern w:val="0"/>
          <w:szCs w:val="24"/>
          <w14:textFill>
            <w14:solidFill>
              <w14:schemeClr w14:val="tx1"/>
            </w14:solidFill>
          </w14:textFill>
        </w:rPr>
        <w:t>。</w:t>
      </w:r>
    </w:p>
    <w:p w14:paraId="2D69A3E1">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建设项目环境风险识别汇总表</w:t>
      </w:r>
    </w:p>
    <w:tbl>
      <w:tblPr>
        <w:tblStyle w:val="171"/>
        <w:tblW w:w="9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6"/>
        <w:gridCol w:w="912"/>
        <w:gridCol w:w="1117"/>
        <w:gridCol w:w="2168"/>
        <w:gridCol w:w="2157"/>
        <w:gridCol w:w="1519"/>
      </w:tblGrid>
      <w:tr w14:paraId="65B5F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186" w:type="dxa"/>
            <w:vAlign w:val="center"/>
          </w:tcPr>
          <w:p w14:paraId="690CD476">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6"/>
                <w:kern w:val="0"/>
                <w:sz w:val="20"/>
                <w:szCs w:val="20"/>
                <w:lang w:eastAsia="en-US"/>
                <w14:textFill>
                  <w14:solidFill>
                    <w14:schemeClr w14:val="tx1"/>
                  </w14:solidFill>
                </w14:textFill>
              </w:rPr>
              <w:t>危险单元</w:t>
            </w:r>
          </w:p>
        </w:tc>
        <w:tc>
          <w:tcPr>
            <w:tcW w:w="912" w:type="dxa"/>
            <w:vAlign w:val="center"/>
          </w:tcPr>
          <w:p w14:paraId="701D36A7">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6"/>
                <w:kern w:val="0"/>
                <w:sz w:val="20"/>
                <w:szCs w:val="20"/>
                <w:lang w:eastAsia="en-US"/>
                <w14:textFill>
                  <w14:solidFill>
                    <w14:schemeClr w14:val="tx1"/>
                  </w14:solidFill>
                </w14:textFill>
              </w:rPr>
              <w:t>风险源</w:t>
            </w:r>
          </w:p>
        </w:tc>
        <w:tc>
          <w:tcPr>
            <w:tcW w:w="1117" w:type="dxa"/>
            <w:vAlign w:val="center"/>
          </w:tcPr>
          <w:p w14:paraId="2575F7B7">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风险类型</w:t>
            </w:r>
          </w:p>
        </w:tc>
        <w:tc>
          <w:tcPr>
            <w:tcW w:w="2168" w:type="dxa"/>
            <w:vAlign w:val="center"/>
          </w:tcPr>
          <w:p w14:paraId="33FD2539">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影响途径/类型</w:t>
            </w:r>
          </w:p>
        </w:tc>
        <w:tc>
          <w:tcPr>
            <w:tcW w:w="2157" w:type="dxa"/>
            <w:vAlign w:val="center"/>
          </w:tcPr>
          <w:p w14:paraId="4EAEEC6F">
            <w:pPr>
              <w:kinsoku w:val="0"/>
              <w:autoSpaceDE w:val="0"/>
              <w:autoSpaceDN w:val="0"/>
              <w:adjustRightInd w:val="0"/>
              <w:snapToGrid w:val="0"/>
              <w:jc w:val="center"/>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8"/>
                <w:kern w:val="0"/>
                <w:sz w:val="20"/>
                <w:szCs w:val="20"/>
                <w14:textFill>
                  <w14:solidFill>
                    <w14:schemeClr w14:val="tx1"/>
                  </w14:solidFill>
                </w14:textFill>
              </w:rPr>
              <w:t>可能影响的环境敏感</w:t>
            </w:r>
            <w:r>
              <w:rPr>
                <w:rFonts w:eastAsia="宋体"/>
                <w:snapToGrid w:val="0"/>
                <w:color w:val="000000" w:themeColor="text1"/>
                <w:spacing w:val="-16"/>
                <w:kern w:val="0"/>
                <w:sz w:val="20"/>
                <w:szCs w:val="20"/>
                <w14:textFill>
                  <w14:solidFill>
                    <w14:schemeClr w14:val="tx1"/>
                  </w14:solidFill>
                </w14:textFill>
              </w:rPr>
              <w:t>目标</w:t>
            </w:r>
          </w:p>
        </w:tc>
        <w:tc>
          <w:tcPr>
            <w:tcW w:w="1519" w:type="dxa"/>
            <w:vAlign w:val="center"/>
          </w:tcPr>
          <w:p w14:paraId="6A399533">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备注</w:t>
            </w:r>
          </w:p>
        </w:tc>
      </w:tr>
      <w:tr w14:paraId="67A99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86" w:type="dxa"/>
            <w:vAlign w:val="center"/>
          </w:tcPr>
          <w:p w14:paraId="214FC741">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6"/>
                <w:kern w:val="0"/>
                <w:sz w:val="20"/>
                <w:szCs w:val="20"/>
                <w:lang w:eastAsia="en-US"/>
                <w14:textFill>
                  <w14:solidFill>
                    <w14:schemeClr w14:val="tx1"/>
                  </w14:solidFill>
                </w14:textFill>
              </w:rPr>
              <w:t>原料库房</w:t>
            </w:r>
          </w:p>
        </w:tc>
        <w:tc>
          <w:tcPr>
            <w:tcW w:w="912" w:type="dxa"/>
            <w:vAlign w:val="center"/>
          </w:tcPr>
          <w:p w14:paraId="400A65D8">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硫酸铵</w:t>
            </w:r>
          </w:p>
        </w:tc>
        <w:tc>
          <w:tcPr>
            <w:tcW w:w="1117" w:type="dxa"/>
            <w:vAlign w:val="center"/>
          </w:tcPr>
          <w:p w14:paraId="7ED5FC51">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泄漏</w:t>
            </w:r>
          </w:p>
        </w:tc>
        <w:tc>
          <w:tcPr>
            <w:tcW w:w="2168" w:type="dxa"/>
            <w:vAlign w:val="center"/>
          </w:tcPr>
          <w:p w14:paraId="377846C5">
            <w:pPr>
              <w:kinsoku w:val="0"/>
              <w:autoSpaceDE w:val="0"/>
              <w:autoSpaceDN w:val="0"/>
              <w:adjustRightInd w:val="0"/>
              <w:snapToGrid w:val="0"/>
              <w:jc w:val="center"/>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8"/>
                <w:kern w:val="0"/>
                <w:sz w:val="20"/>
                <w:szCs w:val="20"/>
                <w14:textFill>
                  <w14:solidFill>
                    <w14:schemeClr w14:val="tx1"/>
                  </w14:solidFill>
                </w14:textFill>
              </w:rPr>
              <w:t>火灾或雨天引起的次生、伴生环境污染</w:t>
            </w:r>
          </w:p>
        </w:tc>
        <w:tc>
          <w:tcPr>
            <w:tcW w:w="2157" w:type="dxa"/>
            <w:vAlign w:val="center"/>
          </w:tcPr>
          <w:p w14:paraId="1813C729">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4"/>
                <w:kern w:val="0"/>
                <w:sz w:val="20"/>
                <w:szCs w:val="20"/>
                <w:lang w:eastAsia="en-US"/>
                <w14:textFill>
                  <w14:solidFill>
                    <w14:schemeClr w14:val="tx1"/>
                  </w14:solidFill>
                </w14:textFill>
              </w:rPr>
              <w:t>大气环境、</w:t>
            </w:r>
            <w:r>
              <w:rPr>
                <w:rFonts w:eastAsia="宋体"/>
                <w:snapToGrid w:val="0"/>
                <w:color w:val="000000" w:themeColor="text1"/>
                <w:spacing w:val="6"/>
                <w:kern w:val="0"/>
                <w:sz w:val="20"/>
                <w:szCs w:val="20"/>
                <w:lang w:eastAsia="en-US"/>
                <w14:textFill>
                  <w14:solidFill>
                    <w14:schemeClr w14:val="tx1"/>
                  </w14:solidFill>
                </w14:textFill>
              </w:rPr>
              <w:t>地下水</w:t>
            </w:r>
          </w:p>
        </w:tc>
        <w:tc>
          <w:tcPr>
            <w:tcW w:w="1519" w:type="dxa"/>
            <w:vAlign w:val="center"/>
          </w:tcPr>
          <w:p w14:paraId="7FD2F926">
            <w:pPr>
              <w:kinsoku w:val="0"/>
              <w:autoSpaceDE w:val="0"/>
              <w:autoSpaceDN w:val="0"/>
              <w:adjustRightInd w:val="0"/>
              <w:snapToGrid w:val="0"/>
              <w:jc w:val="center"/>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1"/>
                <w:kern w:val="0"/>
                <w:sz w:val="20"/>
                <w:szCs w:val="20"/>
                <w:lang w:eastAsia="en-US"/>
                <w14:textFill>
                  <w14:solidFill>
                    <w14:schemeClr w14:val="tx1"/>
                  </w14:solidFill>
                </w14:textFill>
              </w:rPr>
              <w:t>最大存在量：</w:t>
            </w:r>
            <w:r>
              <w:rPr>
                <w:rFonts w:eastAsia="宋体"/>
                <w:snapToGrid w:val="0"/>
                <w:color w:val="000000" w:themeColor="text1"/>
                <w:spacing w:val="-1"/>
                <w:kern w:val="0"/>
                <w:sz w:val="20"/>
                <w:szCs w:val="20"/>
                <w14:textFill>
                  <w14:solidFill>
                    <w14:schemeClr w14:val="tx1"/>
                  </w14:solidFill>
                </w14:textFill>
              </w:rPr>
              <w:t>84</w:t>
            </w:r>
            <w:r>
              <w:rPr>
                <w:rFonts w:eastAsia="宋体"/>
                <w:snapToGrid w:val="0"/>
                <w:color w:val="000000" w:themeColor="text1"/>
                <w:spacing w:val="3"/>
                <w:kern w:val="0"/>
                <w:sz w:val="20"/>
                <w:szCs w:val="20"/>
                <w:lang w:eastAsia="en-US"/>
                <w14:textFill>
                  <w14:solidFill>
                    <w14:schemeClr w14:val="tx1"/>
                  </w14:solidFill>
                </w14:textFill>
              </w:rPr>
              <w:t>t</w:t>
            </w:r>
          </w:p>
        </w:tc>
      </w:tr>
    </w:tbl>
    <w:p w14:paraId="3E860F04">
      <w:pPr>
        <w:pStyle w:val="186"/>
        <w:ind w:firstLine="474"/>
        <w:rPr>
          <w:rFonts w:cs="Times New Roman"/>
          <w:color w:val="000000" w:themeColor="text1"/>
          <w:kern w:val="0"/>
          <w:szCs w:val="24"/>
          <w:lang w:eastAsia="en-US"/>
          <w14:textFill>
            <w14:solidFill>
              <w14:schemeClr w14:val="tx1"/>
            </w14:solidFill>
          </w14:textFill>
        </w:rPr>
      </w:pPr>
      <w:r>
        <w:rPr>
          <w:rFonts w:cs="Times New Roman"/>
          <w:b/>
          <w:bCs/>
          <w:color w:val="000000" w:themeColor="text1"/>
          <w:spacing w:val="-2"/>
          <w:kern w:val="0"/>
          <w:szCs w:val="24"/>
          <w:lang w:eastAsia="en-US"/>
          <w14:textFill>
            <w14:solidFill>
              <w14:schemeClr w14:val="tx1"/>
            </w14:solidFill>
          </w14:textFill>
        </w:rPr>
        <w:t>7.5风险事故情形分析</w:t>
      </w:r>
    </w:p>
    <w:p w14:paraId="76E1CF2F">
      <w:pPr>
        <w:pStyle w:val="186"/>
        <w:ind w:firstLine="456"/>
        <w:rPr>
          <w:rFonts w:cs="Times New Roman"/>
          <w:color w:val="000000" w:themeColor="text1"/>
          <w:kern w:val="0"/>
          <w:szCs w:val="24"/>
          <w14:textFill>
            <w14:solidFill>
              <w14:schemeClr w14:val="tx1"/>
            </w14:solidFill>
          </w14:textFill>
        </w:rPr>
      </w:pPr>
      <w:r>
        <w:rPr>
          <w:rFonts w:cs="Times New Roman"/>
          <w:color w:val="000000" w:themeColor="text1"/>
          <w:spacing w:val="-6"/>
          <w:kern w:val="0"/>
          <w:szCs w:val="24"/>
          <w14:textFill>
            <w14:solidFill>
              <w14:schemeClr w14:val="tx1"/>
            </w14:solidFill>
          </w14:textFill>
        </w:rPr>
        <w:t>根据《建设项目环境风险评价技术导则》(HJ169-2018)，“在风险识别的基础上，</w:t>
      </w:r>
      <w:r>
        <w:rPr>
          <w:rFonts w:cs="Times New Roman"/>
          <w:color w:val="000000" w:themeColor="text1"/>
          <w:spacing w:val="-2"/>
          <w:kern w:val="0"/>
          <w:szCs w:val="24"/>
          <w14:textFill>
            <w14:solidFill>
              <w14:schemeClr w14:val="tx1"/>
            </w14:solidFill>
          </w14:textFill>
        </w:rPr>
        <w:t>选择对环境影响较大并具有代表性的事故类型，设定风险事故情形”。本项</w:t>
      </w:r>
      <w:r>
        <w:rPr>
          <w:rFonts w:cs="Times New Roman"/>
          <w:color w:val="000000" w:themeColor="text1"/>
          <w:spacing w:val="-3"/>
          <w:kern w:val="0"/>
          <w:szCs w:val="24"/>
          <w14:textFill>
            <w14:solidFill>
              <w14:schemeClr w14:val="tx1"/>
            </w14:solidFill>
          </w14:textFill>
        </w:rPr>
        <w:t>目生产运</w:t>
      </w:r>
      <w:r>
        <w:rPr>
          <w:rFonts w:cs="Times New Roman"/>
          <w:color w:val="000000" w:themeColor="text1"/>
          <w:spacing w:val="-1"/>
          <w:kern w:val="0"/>
          <w:szCs w:val="24"/>
          <w14:textFill>
            <w14:solidFill>
              <w14:schemeClr w14:val="tx1"/>
            </w14:solidFill>
          </w14:textFill>
        </w:rPr>
        <w:t>营过程中涉及的风险物质主要为硫酸铵，其发生泄漏事故的概率</w:t>
      </w:r>
      <w:r>
        <w:rPr>
          <w:rFonts w:cs="Times New Roman"/>
          <w:color w:val="000000" w:themeColor="text1"/>
          <w:spacing w:val="-2"/>
          <w:kern w:val="0"/>
          <w:szCs w:val="24"/>
          <w14:textFill>
            <w14:solidFill>
              <w14:schemeClr w14:val="tx1"/>
            </w14:solidFill>
          </w14:textFill>
        </w:rPr>
        <w:t>分析主要采用类比国</w:t>
      </w:r>
      <w:r>
        <w:rPr>
          <w:rFonts w:cs="Times New Roman"/>
          <w:color w:val="000000" w:themeColor="text1"/>
          <w:spacing w:val="-1"/>
          <w:kern w:val="0"/>
          <w:szCs w:val="24"/>
          <w14:textFill>
            <w14:solidFill>
              <w14:schemeClr w14:val="tx1"/>
            </w14:solidFill>
          </w14:textFill>
        </w:rPr>
        <w:t>内外化工行业发生事故概率的方法。硫酸铵为固体，且本身不易</w:t>
      </w:r>
      <w:r>
        <w:rPr>
          <w:rFonts w:cs="Times New Roman"/>
          <w:color w:val="000000" w:themeColor="text1"/>
          <w:spacing w:val="-2"/>
          <w:kern w:val="0"/>
          <w:szCs w:val="24"/>
          <w14:textFill>
            <w14:solidFill>
              <w14:schemeClr w14:val="tx1"/>
            </w14:solidFill>
          </w14:textFill>
        </w:rPr>
        <w:t>燃，但是当厂区内发</w:t>
      </w:r>
      <w:r>
        <w:rPr>
          <w:rFonts w:cs="Times New Roman"/>
          <w:color w:val="000000" w:themeColor="text1"/>
          <w:spacing w:val="-1"/>
          <w:kern w:val="0"/>
          <w:szCs w:val="24"/>
          <w14:textFill>
            <w14:solidFill>
              <w14:schemeClr w14:val="tx1"/>
            </w14:solidFill>
          </w14:textFill>
        </w:rPr>
        <w:t>生火灾时，在原料库房内存储的硫酸铵受热分解产生氨气</w:t>
      </w:r>
      <w:r>
        <w:rPr>
          <w:rFonts w:cs="Times New Roman"/>
          <w:color w:val="000000" w:themeColor="text1"/>
          <w:spacing w:val="-2"/>
          <w:kern w:val="0"/>
          <w:szCs w:val="24"/>
          <w14:textFill>
            <w14:solidFill>
              <w14:schemeClr w14:val="tx1"/>
            </w14:solidFill>
          </w14:textFill>
        </w:rPr>
        <w:t>、以及氨气燃烧导致大气污</w:t>
      </w:r>
      <w:r>
        <w:rPr>
          <w:rFonts w:cs="Times New Roman"/>
          <w:color w:val="000000" w:themeColor="text1"/>
          <w:spacing w:val="-1"/>
          <w:kern w:val="0"/>
          <w:szCs w:val="24"/>
          <w14:textFill>
            <w14:solidFill>
              <w14:schemeClr w14:val="tx1"/>
            </w14:solidFill>
          </w14:textFill>
        </w:rPr>
        <w:t>染。</w:t>
      </w:r>
    </w:p>
    <w:p w14:paraId="2082739C">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7.6事故发生概率分析</w:t>
      </w:r>
    </w:p>
    <w:p w14:paraId="68B10E8E">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7.6.1最大可信事故</w:t>
      </w:r>
    </w:p>
    <w:p w14:paraId="736E94EB">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最大可信事故是指在所有预测的概率不为零的</w:t>
      </w:r>
      <w:r>
        <w:rPr>
          <w:rFonts w:cs="Times New Roman"/>
          <w:color w:val="000000" w:themeColor="text1"/>
          <w:spacing w:val="-2"/>
          <w:kern w:val="0"/>
          <w:szCs w:val="24"/>
          <w14:textFill>
            <w14:solidFill>
              <w14:schemeClr w14:val="tx1"/>
            </w14:solidFill>
          </w14:textFill>
        </w:rPr>
        <w:t>事故中，对环境（或健康）危害最严重的重大事故，一般而言，发生频率小于10</w:t>
      </w:r>
      <w:r>
        <w:rPr>
          <w:rFonts w:cs="Times New Roman"/>
          <w:color w:val="000000" w:themeColor="text1"/>
          <w:spacing w:val="-2"/>
          <w:kern w:val="0"/>
          <w:position w:val="8"/>
          <w:sz w:val="15"/>
          <w:szCs w:val="15"/>
          <w14:textFill>
            <w14:solidFill>
              <w14:schemeClr w14:val="tx1"/>
            </w14:solidFill>
          </w14:textFill>
        </w:rPr>
        <w:t>-6</w:t>
      </w:r>
      <w:r>
        <w:rPr>
          <w:rFonts w:cs="Times New Roman"/>
          <w:color w:val="000000" w:themeColor="text1"/>
          <w:spacing w:val="-2"/>
          <w:kern w:val="0"/>
          <w:szCs w:val="24"/>
          <w14:textFill>
            <w14:solidFill>
              <w14:schemeClr w14:val="tx1"/>
            </w14:solidFill>
          </w14:textFill>
        </w:rPr>
        <w:t>/年的事件是极小概率事</w:t>
      </w:r>
      <w:r>
        <w:rPr>
          <w:rFonts w:cs="Times New Roman"/>
          <w:color w:val="000000" w:themeColor="text1"/>
          <w:spacing w:val="-3"/>
          <w:kern w:val="0"/>
          <w:szCs w:val="24"/>
          <w14:textFill>
            <w14:solidFill>
              <w14:schemeClr w14:val="tx1"/>
            </w14:solidFill>
          </w14:textFill>
        </w:rPr>
        <w:t>件，可作为代</w:t>
      </w:r>
      <w:r>
        <w:rPr>
          <w:rFonts w:cs="Times New Roman"/>
          <w:color w:val="000000" w:themeColor="text1"/>
          <w:spacing w:val="-1"/>
          <w:kern w:val="0"/>
          <w:szCs w:val="24"/>
          <w14:textFill>
            <w14:solidFill>
              <w14:schemeClr w14:val="tx1"/>
            </w14:solidFill>
          </w14:textFill>
        </w:rPr>
        <w:t>表性事故情形中最大可信事故设定的参考。根据以上分析，本工</w:t>
      </w:r>
      <w:r>
        <w:rPr>
          <w:rFonts w:cs="Times New Roman"/>
          <w:color w:val="000000" w:themeColor="text1"/>
          <w:spacing w:val="-2"/>
          <w:kern w:val="0"/>
          <w:szCs w:val="24"/>
          <w14:textFill>
            <w14:solidFill>
              <w14:schemeClr w14:val="tx1"/>
            </w14:solidFill>
          </w14:textFill>
        </w:rPr>
        <w:t>程最大可信事故及类</w:t>
      </w:r>
      <w:r>
        <w:rPr>
          <w:rFonts w:cs="Times New Roman"/>
          <w:color w:val="000000" w:themeColor="text1"/>
          <w:spacing w:val="-1"/>
          <w:kern w:val="0"/>
          <w:szCs w:val="24"/>
          <w14:textFill>
            <w14:solidFill>
              <w14:schemeClr w14:val="tx1"/>
            </w14:solidFill>
          </w14:textFill>
        </w:rPr>
        <w:t>型为原料库房的硫酸铵泄漏对人体造成的伤害事故，</w:t>
      </w:r>
      <w:r>
        <w:rPr>
          <w:rFonts w:cs="Times New Roman"/>
          <w:color w:val="000000" w:themeColor="text1"/>
          <w:spacing w:val="-2"/>
          <w:kern w:val="0"/>
          <w:szCs w:val="24"/>
          <w14:textFill>
            <w14:solidFill>
              <w14:schemeClr w14:val="tx1"/>
            </w14:solidFill>
          </w14:textFill>
        </w:rPr>
        <w:t>硫酸铵存入全密闭库房无</w:t>
      </w:r>
      <w:r>
        <w:rPr>
          <w:rFonts w:cs="Times New Roman"/>
          <w:color w:val="000000" w:themeColor="text1"/>
          <w:spacing w:val="-1"/>
          <w:kern w:val="0"/>
          <w:szCs w:val="24"/>
          <w14:textFill>
            <w14:solidFill>
              <w14:schemeClr w14:val="tx1"/>
            </w14:solidFill>
          </w14:textFill>
        </w:rPr>
        <w:t>地下水环境的污染途径。</w:t>
      </w:r>
    </w:p>
    <w:p w14:paraId="05CF8E4E">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7.6.2最大可信事故发生概率</w:t>
      </w:r>
    </w:p>
    <w:p w14:paraId="5D5DB80F">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（1）一般事故统计资料</w:t>
      </w:r>
    </w:p>
    <w:p w14:paraId="7C4CD9F9">
      <w:pPr>
        <w:pStyle w:val="186"/>
        <w:ind w:firstLine="476"/>
        <w:rPr>
          <w:rFonts w:cs="Times New Roman"/>
          <w:color w:val="000000" w:themeColor="text1"/>
          <w:kern w:val="0"/>
          <w:szCs w:val="21"/>
          <w14:textFill>
            <w14:solidFill>
              <w14:schemeClr w14:val="tx1"/>
            </w14:solidFill>
          </w14:textFill>
        </w:rPr>
      </w:pPr>
      <w:r>
        <w:rPr>
          <w:rFonts w:cs="Times New Roman"/>
          <w:color w:val="000000" w:themeColor="text1"/>
          <w:spacing w:val="-1"/>
          <w:kern w:val="0"/>
          <w:szCs w:val="24"/>
          <w14:textFill>
            <w14:solidFill>
              <w14:schemeClr w14:val="tx1"/>
            </w14:solidFill>
          </w14:textFill>
        </w:rPr>
        <w:t>通过对国内类似化工行业事故发生原因的调查统计，</w:t>
      </w:r>
      <w:r>
        <w:rPr>
          <w:rFonts w:cs="Times New Roman"/>
          <w:color w:val="000000" w:themeColor="text1"/>
          <w:spacing w:val="-2"/>
          <w:kern w:val="0"/>
          <w:szCs w:val="24"/>
          <w14:textFill>
            <w14:solidFill>
              <w14:schemeClr w14:val="tx1"/>
            </w14:solidFill>
          </w14:textFill>
        </w:rPr>
        <w:t>化工行业以设备、管道、贮</w:t>
      </w:r>
      <w:r>
        <w:rPr>
          <w:rFonts w:cs="Times New Roman"/>
          <w:color w:val="000000" w:themeColor="text1"/>
          <w:spacing w:val="-1"/>
          <w:kern w:val="0"/>
          <w:szCs w:val="24"/>
          <w14:textFill>
            <w14:solidFill>
              <w14:schemeClr w14:val="tx1"/>
            </w14:solidFill>
          </w14:textFill>
        </w:rPr>
        <w:t>罐破损泄漏等引起的事故出现比例最高，而造成设备破损泄</w:t>
      </w:r>
      <w:r>
        <w:rPr>
          <w:rFonts w:cs="Times New Roman"/>
          <w:color w:val="000000" w:themeColor="text1"/>
          <w:spacing w:val="-2"/>
          <w:kern w:val="0"/>
          <w:szCs w:val="24"/>
          <w14:textFill>
            <w14:solidFill>
              <w14:schemeClr w14:val="tx1"/>
            </w14:solidFill>
          </w14:textFill>
        </w:rPr>
        <w:t>漏的直接原因多为管理不</w:t>
      </w:r>
      <w:r>
        <w:rPr>
          <w:rFonts w:cs="Times New Roman"/>
          <w:color w:val="000000" w:themeColor="text1"/>
          <w:spacing w:val="-1"/>
          <w:kern w:val="0"/>
          <w:szCs w:val="24"/>
          <w14:textFill>
            <w14:solidFill>
              <w14:schemeClr w14:val="tx1"/>
            </w14:solidFill>
          </w14:textFill>
        </w:rPr>
        <w:t>善、未能定时检修造成。以违反操作规程、操作失误以及不</w:t>
      </w:r>
      <w:r>
        <w:rPr>
          <w:rFonts w:cs="Times New Roman"/>
          <w:color w:val="000000" w:themeColor="text1"/>
          <w:spacing w:val="-2"/>
          <w:kern w:val="0"/>
          <w:szCs w:val="24"/>
          <w14:textFill>
            <w14:solidFill>
              <w14:schemeClr w14:val="tx1"/>
            </w14:solidFill>
          </w14:textFill>
        </w:rPr>
        <w:t>懂技术操作等人为因素引</w:t>
      </w:r>
      <w:r>
        <w:rPr>
          <w:rFonts w:cs="Times New Roman"/>
          <w:color w:val="000000" w:themeColor="text1"/>
          <w:spacing w:val="-1"/>
          <w:kern w:val="0"/>
          <w:szCs w:val="24"/>
          <w14:textFill>
            <w14:solidFill>
              <w14:schemeClr w14:val="tx1"/>
            </w14:solidFill>
          </w14:textFill>
        </w:rPr>
        <w:t>起的事故出现的比例较高。</w:t>
      </w:r>
    </w:p>
    <w:p w14:paraId="14B7A2B2">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我国化工企业一般事故原因分类</w:t>
      </w:r>
    </w:p>
    <w:tbl>
      <w:tblPr>
        <w:tblStyle w:val="171"/>
        <w:tblW w:w="9060"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8"/>
        <w:gridCol w:w="2597"/>
        <w:gridCol w:w="1927"/>
        <w:gridCol w:w="2268"/>
      </w:tblGrid>
      <w:tr w14:paraId="4FB7A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268" w:type="dxa"/>
          </w:tcPr>
          <w:p w14:paraId="01C7BAD4">
            <w:pPr>
              <w:kinsoku w:val="0"/>
              <w:autoSpaceDE w:val="0"/>
              <w:autoSpaceDN w:val="0"/>
              <w:adjustRightInd w:val="0"/>
              <w:snapToGrid w:val="0"/>
              <w:spacing w:before="50" w:line="228" w:lineRule="auto"/>
              <w:ind w:left="718"/>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事故原因</w:t>
            </w:r>
          </w:p>
        </w:tc>
        <w:tc>
          <w:tcPr>
            <w:tcW w:w="2597" w:type="dxa"/>
          </w:tcPr>
          <w:p w14:paraId="6B7B68F5">
            <w:pPr>
              <w:kinsoku w:val="0"/>
              <w:autoSpaceDE w:val="0"/>
              <w:autoSpaceDN w:val="0"/>
              <w:adjustRightInd w:val="0"/>
              <w:snapToGrid w:val="0"/>
              <w:spacing w:before="49" w:line="228" w:lineRule="auto"/>
              <w:ind w:left="256"/>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14:textFill>
                  <w14:solidFill>
                    <w14:schemeClr w14:val="tx1"/>
                  </w14:solidFill>
                </w14:textFill>
              </w:rPr>
              <w:t>设备（贮罐、管道等）</w:t>
            </w:r>
          </w:p>
        </w:tc>
        <w:tc>
          <w:tcPr>
            <w:tcW w:w="1927" w:type="dxa"/>
          </w:tcPr>
          <w:p w14:paraId="0A1CA3AE">
            <w:pPr>
              <w:kinsoku w:val="0"/>
              <w:autoSpaceDE w:val="0"/>
              <w:autoSpaceDN w:val="0"/>
              <w:adjustRightInd w:val="0"/>
              <w:snapToGrid w:val="0"/>
              <w:spacing w:before="49" w:line="228" w:lineRule="auto"/>
              <w:ind w:left="552"/>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人为因素</w:t>
            </w:r>
          </w:p>
        </w:tc>
        <w:tc>
          <w:tcPr>
            <w:tcW w:w="2268" w:type="dxa"/>
          </w:tcPr>
          <w:p w14:paraId="3BA2EF45">
            <w:pPr>
              <w:kinsoku w:val="0"/>
              <w:autoSpaceDE w:val="0"/>
              <w:autoSpaceDN w:val="0"/>
              <w:adjustRightInd w:val="0"/>
              <w:snapToGrid w:val="0"/>
              <w:spacing w:before="49" w:line="228" w:lineRule="auto"/>
              <w:ind w:left="753"/>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自然因素</w:t>
            </w:r>
          </w:p>
        </w:tc>
      </w:tr>
      <w:tr w14:paraId="021C0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268" w:type="dxa"/>
          </w:tcPr>
          <w:p w14:paraId="12B3F1EB">
            <w:pPr>
              <w:kinsoku w:val="0"/>
              <w:autoSpaceDE w:val="0"/>
              <w:autoSpaceDN w:val="0"/>
              <w:adjustRightInd w:val="0"/>
              <w:snapToGrid w:val="0"/>
              <w:spacing w:before="53" w:line="227" w:lineRule="auto"/>
              <w:ind w:left="44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出现几率（%）</w:t>
            </w:r>
          </w:p>
        </w:tc>
        <w:tc>
          <w:tcPr>
            <w:tcW w:w="2597" w:type="dxa"/>
          </w:tcPr>
          <w:p w14:paraId="3C393C13">
            <w:pPr>
              <w:widowControl/>
              <w:kinsoku w:val="0"/>
              <w:autoSpaceDE w:val="0"/>
              <w:autoSpaceDN w:val="0"/>
              <w:adjustRightInd w:val="0"/>
              <w:snapToGrid w:val="0"/>
              <w:spacing w:before="89" w:line="195" w:lineRule="auto"/>
              <w:ind w:left="1198"/>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72</w:t>
            </w:r>
          </w:p>
        </w:tc>
        <w:tc>
          <w:tcPr>
            <w:tcW w:w="1927" w:type="dxa"/>
          </w:tcPr>
          <w:p w14:paraId="538A5AF0">
            <w:pPr>
              <w:widowControl/>
              <w:kinsoku w:val="0"/>
              <w:autoSpaceDE w:val="0"/>
              <w:autoSpaceDN w:val="0"/>
              <w:adjustRightInd w:val="0"/>
              <w:snapToGrid w:val="0"/>
              <w:spacing w:before="89" w:line="195" w:lineRule="auto"/>
              <w:ind w:left="88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12</w:t>
            </w:r>
          </w:p>
        </w:tc>
        <w:tc>
          <w:tcPr>
            <w:tcW w:w="2268" w:type="dxa"/>
          </w:tcPr>
          <w:p w14:paraId="76BE4417">
            <w:pPr>
              <w:widowControl/>
              <w:kinsoku w:val="0"/>
              <w:autoSpaceDE w:val="0"/>
              <w:autoSpaceDN w:val="0"/>
              <w:adjustRightInd w:val="0"/>
              <w:snapToGrid w:val="0"/>
              <w:spacing w:before="89" w:line="195" w:lineRule="auto"/>
              <w:ind w:left="1049"/>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16</w:t>
            </w:r>
          </w:p>
        </w:tc>
      </w:tr>
    </w:tbl>
    <w:p w14:paraId="1AFF2C63">
      <w:pPr>
        <w:pStyle w:val="186"/>
        <w:ind w:firstLine="476"/>
        <w:rPr>
          <w:rFonts w:cs="Times New Roman"/>
          <w:color w:val="000000" w:themeColor="text1"/>
          <w:kern w:val="0"/>
          <w:szCs w:val="21"/>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根据国内类似行业多年经验，事故发生原因统计结果见下表。</w:t>
      </w:r>
    </w:p>
    <w:p w14:paraId="74620FA6">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行业一般事故原因统计</w:t>
      </w:r>
    </w:p>
    <w:tbl>
      <w:tblPr>
        <w:tblStyle w:val="171"/>
        <w:tblW w:w="90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0"/>
        <w:gridCol w:w="4532"/>
      </w:tblGrid>
      <w:tr w14:paraId="63CD4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4530" w:type="dxa"/>
            <w:vAlign w:val="center"/>
          </w:tcPr>
          <w:p w14:paraId="5FDEA7F4">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事故原因</w:t>
            </w:r>
          </w:p>
        </w:tc>
        <w:tc>
          <w:tcPr>
            <w:tcW w:w="4532" w:type="dxa"/>
            <w:vAlign w:val="center"/>
          </w:tcPr>
          <w:p w14:paraId="23405A7F">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出现几率（%）</w:t>
            </w:r>
          </w:p>
        </w:tc>
      </w:tr>
      <w:tr w14:paraId="1AF06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530" w:type="dxa"/>
            <w:vAlign w:val="center"/>
          </w:tcPr>
          <w:p w14:paraId="5D322358">
            <w:pPr>
              <w:kinsoku w:val="0"/>
              <w:autoSpaceDE w:val="0"/>
              <w:autoSpaceDN w:val="0"/>
              <w:adjustRightInd w:val="0"/>
              <w:snapToGrid w:val="0"/>
              <w:jc w:val="center"/>
              <w:textAlignment w:val="baseline"/>
              <w:rPr>
                <w:rFonts w:eastAsia="宋体"/>
                <w:snapToGrid w:val="0"/>
                <w:color w:val="000000" w:themeColor="text1"/>
                <w:spacing w:val="4"/>
                <w:kern w:val="0"/>
                <w:szCs w:val="20"/>
                <w14:textFill>
                  <w14:solidFill>
                    <w14:schemeClr w14:val="tx1"/>
                  </w14:solidFill>
                </w14:textFill>
              </w:rPr>
            </w:pPr>
            <w:r>
              <w:rPr>
                <w:rFonts w:eastAsia="宋体"/>
                <w:snapToGrid w:val="0"/>
                <w:color w:val="000000" w:themeColor="text1"/>
                <w:spacing w:val="4"/>
                <w:kern w:val="0"/>
                <w:szCs w:val="20"/>
                <w14:textFill>
                  <w14:solidFill>
                    <w14:schemeClr w14:val="tx1"/>
                  </w14:solidFill>
                </w14:textFill>
              </w:rPr>
              <w:t>贮罐、管道和设备破损</w:t>
            </w:r>
          </w:p>
        </w:tc>
        <w:tc>
          <w:tcPr>
            <w:tcW w:w="4532" w:type="dxa"/>
            <w:vAlign w:val="center"/>
          </w:tcPr>
          <w:p w14:paraId="0CD3AB86">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60</w:t>
            </w:r>
          </w:p>
        </w:tc>
      </w:tr>
      <w:tr w14:paraId="2C096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530" w:type="dxa"/>
            <w:vAlign w:val="center"/>
          </w:tcPr>
          <w:p w14:paraId="0FD7BBBC">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废气处理系统故障</w:t>
            </w:r>
          </w:p>
        </w:tc>
        <w:tc>
          <w:tcPr>
            <w:tcW w:w="4532" w:type="dxa"/>
            <w:vAlign w:val="center"/>
          </w:tcPr>
          <w:p w14:paraId="1FA99944">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10</w:t>
            </w:r>
          </w:p>
        </w:tc>
      </w:tr>
      <w:tr w14:paraId="519EC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530" w:type="dxa"/>
            <w:vAlign w:val="center"/>
          </w:tcPr>
          <w:p w14:paraId="008FCDCE">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生产装置爆炸</w:t>
            </w:r>
          </w:p>
        </w:tc>
        <w:tc>
          <w:tcPr>
            <w:tcW w:w="4532" w:type="dxa"/>
            <w:vAlign w:val="center"/>
          </w:tcPr>
          <w:p w14:paraId="4B90F9C2">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0.5</w:t>
            </w:r>
          </w:p>
        </w:tc>
      </w:tr>
      <w:tr w14:paraId="0CDBD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530" w:type="dxa"/>
            <w:vAlign w:val="center"/>
          </w:tcPr>
          <w:p w14:paraId="0CFFCC61">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物料泄漏发生火灾</w:t>
            </w:r>
          </w:p>
        </w:tc>
        <w:tc>
          <w:tcPr>
            <w:tcW w:w="4532" w:type="dxa"/>
            <w:vAlign w:val="center"/>
          </w:tcPr>
          <w:p w14:paraId="09418FB1">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0.5</w:t>
            </w:r>
          </w:p>
        </w:tc>
      </w:tr>
      <w:tr w14:paraId="0FD7E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4530" w:type="dxa"/>
            <w:vAlign w:val="center"/>
          </w:tcPr>
          <w:p w14:paraId="716311AC">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其它</w:t>
            </w:r>
          </w:p>
        </w:tc>
        <w:tc>
          <w:tcPr>
            <w:tcW w:w="4532" w:type="dxa"/>
            <w:vAlign w:val="center"/>
          </w:tcPr>
          <w:p w14:paraId="07D66F65">
            <w:pPr>
              <w:kinsoku w:val="0"/>
              <w:autoSpaceDE w:val="0"/>
              <w:autoSpaceDN w:val="0"/>
              <w:adjustRightInd w:val="0"/>
              <w:snapToGrid w:val="0"/>
              <w:jc w:val="center"/>
              <w:textAlignment w:val="baseline"/>
              <w:rPr>
                <w:rFonts w:eastAsia="宋体"/>
                <w:snapToGrid w:val="0"/>
                <w:color w:val="000000" w:themeColor="text1"/>
                <w:spacing w:val="4"/>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29</w:t>
            </w:r>
          </w:p>
        </w:tc>
      </w:tr>
    </w:tbl>
    <w:p w14:paraId="04AD4DCA">
      <w:pPr>
        <w:pStyle w:val="186"/>
        <w:ind w:firstLine="468"/>
        <w:rPr>
          <w:rFonts w:cs="Times New Roman"/>
          <w:color w:val="000000" w:themeColor="text1"/>
          <w:kern w:val="0"/>
          <w:szCs w:val="24"/>
          <w:lang w:eastAsia="en-US"/>
          <w14:textFill>
            <w14:solidFill>
              <w14:schemeClr w14:val="tx1"/>
            </w14:solidFill>
          </w14:textFill>
        </w:rPr>
      </w:pPr>
      <w:r>
        <w:rPr>
          <w:rFonts w:cs="Times New Roman"/>
          <w:color w:val="000000" w:themeColor="text1"/>
          <w:spacing w:val="-3"/>
          <w:kern w:val="0"/>
          <w:szCs w:val="24"/>
          <w:lang w:eastAsia="en-US"/>
          <w14:textFill>
            <w14:solidFill>
              <w14:schemeClr w14:val="tx1"/>
            </w14:solidFill>
          </w14:textFill>
        </w:rPr>
        <w:t>（2）事故</w:t>
      </w:r>
      <w:r>
        <w:rPr>
          <w:rFonts w:cs="Times New Roman"/>
          <w:color w:val="000000" w:themeColor="text1"/>
          <w:spacing w:val="-3"/>
          <w:kern w:val="0"/>
          <w:szCs w:val="24"/>
          <w14:textFill>
            <w14:solidFill>
              <w14:schemeClr w14:val="tx1"/>
            </w14:solidFill>
          </w14:textFill>
        </w:rPr>
        <w:t>源头</w:t>
      </w:r>
      <w:r>
        <w:rPr>
          <w:rFonts w:cs="Times New Roman"/>
          <w:color w:val="000000" w:themeColor="text1"/>
          <w:spacing w:val="-3"/>
          <w:kern w:val="0"/>
          <w:szCs w:val="24"/>
          <w:lang w:eastAsia="en-US"/>
          <w14:textFill>
            <w14:solidFill>
              <w14:schemeClr w14:val="tx1"/>
            </w14:solidFill>
          </w14:textFill>
        </w:rPr>
        <w:t>分析</w:t>
      </w:r>
    </w:p>
    <w:p w14:paraId="4A7C3BBB">
      <w:pPr>
        <w:pStyle w:val="186"/>
        <w:ind w:firstLine="456"/>
        <w:rPr>
          <w:rFonts w:cs="Times New Roman"/>
          <w:color w:val="000000" w:themeColor="text1"/>
          <w:kern w:val="0"/>
          <w:szCs w:val="24"/>
          <w14:textFill>
            <w14:solidFill>
              <w14:schemeClr w14:val="tx1"/>
            </w14:solidFill>
          </w14:textFill>
        </w:rPr>
      </w:pPr>
      <w:r>
        <w:rPr>
          <w:rFonts w:cs="Times New Roman"/>
          <w:color w:val="000000" w:themeColor="text1"/>
          <w:spacing w:val="-6"/>
          <w:kern w:val="0"/>
          <w:szCs w:val="24"/>
          <w14:textFill>
            <w14:solidFill>
              <w14:schemeClr w14:val="tx1"/>
            </w14:solidFill>
          </w14:textFill>
        </w:rPr>
        <w:t>根据各种设备泄漏情况分析，可将生产装置易发生泄漏的</w:t>
      </w:r>
      <w:r>
        <w:rPr>
          <w:rFonts w:cs="Times New Roman"/>
          <w:color w:val="000000" w:themeColor="text1"/>
          <w:spacing w:val="-7"/>
          <w:kern w:val="0"/>
          <w:szCs w:val="24"/>
          <w14:textFill>
            <w14:solidFill>
              <w14:schemeClr w14:val="tx1"/>
            </w14:solidFill>
          </w14:textFill>
        </w:rPr>
        <w:t>设备分类，通常归纳为：</w:t>
      </w:r>
      <w:r>
        <w:rPr>
          <w:rFonts w:cs="Times New Roman"/>
          <w:color w:val="000000" w:themeColor="text1"/>
          <w:spacing w:val="-2"/>
          <w:kern w:val="0"/>
          <w:szCs w:val="24"/>
          <w14:textFill>
            <w14:solidFill>
              <w14:schemeClr w14:val="tx1"/>
            </w14:solidFill>
          </w14:textFill>
        </w:rPr>
        <w:t>管道、阀门、容器等，如下所述。</w:t>
      </w:r>
    </w:p>
    <w:p w14:paraId="5A96905C">
      <w:pPr>
        <w:pStyle w:val="186"/>
        <w:ind w:firstLine="480"/>
        <w:rPr>
          <w:rFonts w:cs="Times New Roman"/>
          <w:color w:val="000000" w:themeColor="text1"/>
          <w:kern w:val="0"/>
          <w:szCs w:val="24"/>
          <w14:textFill>
            <w14:solidFill>
              <w14:schemeClr w14:val="tx1"/>
            </w14:solidFill>
          </w14:textFill>
        </w:rPr>
      </w:pPr>
      <w:r>
        <w:rPr>
          <w:rFonts w:cs="Times New Roman"/>
          <w:color w:val="000000" w:themeColor="text1"/>
          <w:kern w:val="0"/>
          <w:szCs w:val="24"/>
          <w14:textFill>
            <w14:solidFill>
              <w14:schemeClr w14:val="tx1"/>
            </w14:solidFill>
          </w14:textFill>
        </w:rPr>
        <w:t>管道：其典型泄漏情况和裂口尺寸分别取管径的20%和20%～100%。</w:t>
      </w:r>
    </w:p>
    <w:p w14:paraId="7228D2E8">
      <w:pPr>
        <w:pStyle w:val="186"/>
        <w:ind w:firstLine="436"/>
        <w:rPr>
          <w:rFonts w:cs="Times New Roman"/>
          <w:color w:val="000000" w:themeColor="text1"/>
          <w:kern w:val="0"/>
          <w:szCs w:val="24"/>
          <w14:textFill>
            <w14:solidFill>
              <w14:schemeClr w14:val="tx1"/>
            </w14:solidFill>
          </w14:textFill>
        </w:rPr>
      </w:pPr>
      <w:r>
        <w:rPr>
          <w:rFonts w:cs="Times New Roman"/>
          <w:color w:val="000000" w:themeColor="text1"/>
          <w:spacing w:val="-11"/>
          <w:kern w:val="0"/>
          <w:szCs w:val="24"/>
          <w14:textFill>
            <w14:solidFill>
              <w14:schemeClr w14:val="tx1"/>
            </w14:solidFill>
          </w14:textFill>
        </w:rPr>
        <w:t>阀门：其典型泄漏情况和裂口尺寸为：阀壳体泄漏，裂口尺寸取管径的2</w:t>
      </w:r>
      <w:r>
        <w:rPr>
          <w:rFonts w:cs="Times New Roman"/>
          <w:color w:val="000000" w:themeColor="text1"/>
          <w:spacing w:val="-12"/>
          <w:kern w:val="0"/>
          <w:szCs w:val="24"/>
          <w14:textFill>
            <w14:solidFill>
              <w14:schemeClr w14:val="tx1"/>
            </w14:solidFill>
          </w14:textFill>
        </w:rPr>
        <w:t>0%～100%；</w:t>
      </w:r>
      <w:r>
        <w:rPr>
          <w:rFonts w:cs="Times New Roman"/>
          <w:color w:val="000000" w:themeColor="text1"/>
          <w:spacing w:val="1"/>
          <w:kern w:val="0"/>
          <w:szCs w:val="24"/>
          <w14:textFill>
            <w14:solidFill>
              <w14:schemeClr w14:val="tx1"/>
            </w14:solidFill>
          </w14:textFill>
        </w:rPr>
        <w:t>阀盖泄漏，裂口尺寸取管径的20%；阀杆损坏</w:t>
      </w:r>
      <w:r>
        <w:rPr>
          <w:rFonts w:cs="Times New Roman"/>
          <w:color w:val="000000" w:themeColor="text1"/>
          <w:kern w:val="0"/>
          <w:szCs w:val="24"/>
          <w14:textFill>
            <w14:solidFill>
              <w14:schemeClr w14:val="tx1"/>
            </w14:solidFill>
          </w14:textFill>
        </w:rPr>
        <w:t>泄漏，裂口尺寸取管径的20%。</w:t>
      </w:r>
    </w:p>
    <w:p w14:paraId="5AC197AC">
      <w:pPr>
        <w:pStyle w:val="186"/>
        <w:ind w:firstLine="456"/>
        <w:rPr>
          <w:rFonts w:cs="Times New Roman"/>
          <w:color w:val="000000" w:themeColor="text1"/>
          <w:kern w:val="0"/>
          <w:szCs w:val="24"/>
          <w14:textFill>
            <w14:solidFill>
              <w14:schemeClr w14:val="tx1"/>
            </w14:solidFill>
          </w14:textFill>
        </w:rPr>
      </w:pPr>
      <w:r>
        <w:rPr>
          <w:rFonts w:cs="Times New Roman"/>
          <w:color w:val="000000" w:themeColor="text1"/>
          <w:spacing w:val="-6"/>
          <w:kern w:val="0"/>
          <w:szCs w:val="24"/>
          <w14:textFill>
            <w14:solidFill>
              <w14:schemeClr w14:val="tx1"/>
            </w14:solidFill>
          </w14:textFill>
        </w:rPr>
        <w:t>容器：包括各反应器、贮槽等。其常见泄漏情况和裂口</w:t>
      </w:r>
      <w:r>
        <w:rPr>
          <w:rFonts w:cs="Times New Roman"/>
          <w:color w:val="000000" w:themeColor="text1"/>
          <w:spacing w:val="-7"/>
          <w:kern w:val="0"/>
          <w:szCs w:val="24"/>
          <w14:textFill>
            <w14:solidFill>
              <w14:schemeClr w14:val="tx1"/>
            </w14:solidFill>
          </w14:textFill>
        </w:rPr>
        <w:t>尺寸为：容器破裂而泄漏，</w:t>
      </w:r>
      <w:r>
        <w:rPr>
          <w:rFonts w:cs="Times New Roman"/>
          <w:color w:val="000000" w:themeColor="text1"/>
          <w:spacing w:val="12"/>
          <w:kern w:val="0"/>
          <w:szCs w:val="24"/>
          <w14:textFill>
            <w14:solidFill>
              <w14:schemeClr w14:val="tx1"/>
            </w14:solidFill>
          </w14:textFill>
        </w:rPr>
        <w:t>裂口尺寸取容器本身尺寸；容器本体泄漏，裂口尺寸取与其连接的粗管道管径的</w:t>
      </w:r>
      <w:r>
        <w:rPr>
          <w:rFonts w:cs="Times New Roman"/>
          <w:color w:val="000000" w:themeColor="text1"/>
          <w:spacing w:val="-10"/>
          <w:kern w:val="0"/>
          <w:szCs w:val="24"/>
          <w14:textFill>
            <w14:solidFill>
              <w14:schemeClr w14:val="tx1"/>
            </w14:solidFill>
          </w14:textFill>
        </w:rPr>
        <w:t>100%；孔盖泄漏，裂口尺寸取管径的20%；喷嘴断裂而泄漏，裂口尺寸取管径的10</w:t>
      </w:r>
      <w:r>
        <w:rPr>
          <w:rFonts w:cs="Times New Roman"/>
          <w:color w:val="000000" w:themeColor="text1"/>
          <w:spacing w:val="-11"/>
          <w:kern w:val="0"/>
          <w:szCs w:val="24"/>
          <w14:textFill>
            <w14:solidFill>
              <w14:schemeClr w14:val="tx1"/>
            </w14:solidFill>
          </w14:textFill>
        </w:rPr>
        <w:t>0%；</w:t>
      </w:r>
      <w:r>
        <w:rPr>
          <w:rFonts w:cs="Times New Roman"/>
          <w:color w:val="000000" w:themeColor="text1"/>
          <w:spacing w:val="-1"/>
          <w:kern w:val="0"/>
          <w:szCs w:val="24"/>
          <w14:textFill>
            <w14:solidFill>
              <w14:schemeClr w14:val="tx1"/>
            </w14:solidFill>
          </w14:textFill>
        </w:rPr>
        <w:t>仪表管路破裂泄漏，裂口尺寸取管径的20%～100%；容器内部爆</w:t>
      </w:r>
      <w:r>
        <w:rPr>
          <w:rFonts w:cs="Times New Roman"/>
          <w:color w:val="000000" w:themeColor="text1"/>
          <w:spacing w:val="-2"/>
          <w:kern w:val="0"/>
          <w:szCs w:val="24"/>
          <w14:textFill>
            <w14:solidFill>
              <w14:schemeClr w14:val="tx1"/>
            </w14:solidFill>
          </w14:textFill>
        </w:rPr>
        <w:t>炸，全部破裂。</w:t>
      </w:r>
    </w:p>
    <w:p w14:paraId="77112CC8">
      <w:pPr>
        <w:pStyle w:val="186"/>
        <w:ind w:firstLine="480"/>
        <w:rPr>
          <w:rFonts w:cs="Times New Roman"/>
          <w:color w:val="000000" w:themeColor="text1"/>
          <w:kern w:val="0"/>
          <w:szCs w:val="24"/>
          <w14:textFill>
            <w14:solidFill>
              <w14:schemeClr w14:val="tx1"/>
            </w14:solidFill>
          </w14:textFill>
        </w:rPr>
      </w:pPr>
      <w:r>
        <w:rPr>
          <w:rFonts w:cs="Times New Roman"/>
          <w:color w:val="000000" w:themeColor="text1"/>
          <w:kern w:val="0"/>
          <w:szCs w:val="24"/>
          <w14:textFill>
            <w14:solidFill>
              <w14:schemeClr w14:val="tx1"/>
            </w14:solidFill>
          </w14:textFill>
        </w:rPr>
        <w:t>造成泄漏的原因，从人—机系统来考虑造成各种泄漏事</w:t>
      </w:r>
      <w:r>
        <w:rPr>
          <w:rFonts w:cs="Times New Roman"/>
          <w:color w:val="000000" w:themeColor="text1"/>
          <w:spacing w:val="-1"/>
          <w:kern w:val="0"/>
          <w:szCs w:val="24"/>
          <w14:textFill>
            <w14:solidFill>
              <w14:schemeClr w14:val="tx1"/>
            </w14:solidFill>
          </w14:textFill>
        </w:rPr>
        <w:t>故的原因主要有四类：</w:t>
      </w:r>
    </w:p>
    <w:p w14:paraId="3A242F94">
      <w:pPr>
        <w:pStyle w:val="186"/>
        <w:ind w:firstLine="460"/>
        <w:rPr>
          <w:rFonts w:cs="Times New Roman"/>
          <w:color w:val="000000" w:themeColor="text1"/>
          <w:kern w:val="0"/>
          <w:szCs w:val="24"/>
          <w14:textFill>
            <w14:solidFill>
              <w14:schemeClr w14:val="tx1"/>
            </w14:solidFill>
          </w14:textFill>
        </w:rPr>
      </w:pPr>
      <w:r>
        <w:rPr>
          <w:rFonts w:cs="Times New Roman"/>
          <w:color w:val="000000" w:themeColor="text1"/>
          <w:spacing w:val="-5"/>
          <w:kern w:val="0"/>
          <w:szCs w:val="24"/>
          <w14:textFill>
            <w14:solidFill>
              <w14:schemeClr w14:val="tx1"/>
            </w14:solidFill>
          </w14:textFill>
        </w:rPr>
        <w:t>①设计失误</w:t>
      </w:r>
    </w:p>
    <w:p w14:paraId="1D52DA74">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基础设计错误，如地基下沉，造成容器底部产生</w:t>
      </w:r>
      <w:r>
        <w:rPr>
          <w:rFonts w:cs="Times New Roman"/>
          <w:color w:val="000000" w:themeColor="text1"/>
          <w:spacing w:val="-2"/>
          <w:kern w:val="0"/>
          <w:szCs w:val="24"/>
          <w14:textFill>
            <w14:solidFill>
              <w14:schemeClr w14:val="tx1"/>
            </w14:solidFill>
          </w14:textFill>
        </w:rPr>
        <w:t>裂缝，或设备变形、错位等；选</w:t>
      </w:r>
      <w:r>
        <w:rPr>
          <w:rFonts w:cs="Times New Roman"/>
          <w:color w:val="000000" w:themeColor="text1"/>
          <w:kern w:val="0"/>
          <w:szCs w:val="24"/>
          <w14:textFill>
            <w14:solidFill>
              <w14:schemeClr w14:val="tx1"/>
            </w14:solidFill>
          </w14:textFill>
        </w:rPr>
        <w:t>材不当，如强度不够、耐腐蚀性差、耐温、耐</w:t>
      </w:r>
      <w:r>
        <w:rPr>
          <w:rFonts w:cs="Times New Roman"/>
          <w:color w:val="000000" w:themeColor="text1"/>
          <w:spacing w:val="-1"/>
          <w:kern w:val="0"/>
          <w:szCs w:val="24"/>
          <w14:textFill>
            <w14:solidFill>
              <w14:schemeClr w14:val="tx1"/>
            </w14:solidFill>
          </w14:textFill>
        </w:rPr>
        <w:t>压性能差、规格不符等。</w:t>
      </w:r>
    </w:p>
    <w:p w14:paraId="20C65462">
      <w:pPr>
        <w:pStyle w:val="186"/>
        <w:ind w:firstLine="460"/>
        <w:rPr>
          <w:rFonts w:cs="Times New Roman"/>
          <w:color w:val="000000" w:themeColor="text1"/>
          <w:kern w:val="0"/>
          <w:szCs w:val="24"/>
          <w14:textFill>
            <w14:solidFill>
              <w14:schemeClr w14:val="tx1"/>
            </w14:solidFill>
          </w14:textFill>
        </w:rPr>
      </w:pPr>
      <w:r>
        <w:rPr>
          <w:rFonts w:cs="Times New Roman"/>
          <w:color w:val="000000" w:themeColor="text1"/>
          <w:spacing w:val="-5"/>
          <w:kern w:val="0"/>
          <w:szCs w:val="24"/>
          <w14:textFill>
            <w14:solidFill>
              <w14:schemeClr w14:val="tx1"/>
            </w14:solidFill>
          </w14:textFill>
        </w:rPr>
        <w:t>②设备原因</w:t>
      </w:r>
    </w:p>
    <w:p w14:paraId="6DD7D7EA">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加工不符合要求，或未经检验擅自采用代用材料；加</w:t>
      </w:r>
      <w:r>
        <w:rPr>
          <w:rFonts w:cs="Times New Roman"/>
          <w:color w:val="000000" w:themeColor="text1"/>
          <w:spacing w:val="-2"/>
          <w:kern w:val="0"/>
          <w:szCs w:val="24"/>
          <w14:textFill>
            <w14:solidFill>
              <w14:schemeClr w14:val="tx1"/>
            </w14:solidFill>
          </w14:textFill>
        </w:rPr>
        <w:t>工质量差，特别是焊接质量</w:t>
      </w:r>
      <w:r>
        <w:rPr>
          <w:rFonts w:cs="Times New Roman"/>
          <w:color w:val="000000" w:themeColor="text1"/>
          <w:spacing w:val="-6"/>
          <w:kern w:val="0"/>
          <w:szCs w:val="24"/>
          <w14:textFill>
            <w14:solidFill>
              <w14:schemeClr w14:val="tx1"/>
            </w14:solidFill>
          </w14:textFill>
        </w:rPr>
        <w:t>差；施工和安装精度不高，如泵和电机不同轴、机械设备不平衡、管道连接不严密等；</w:t>
      </w:r>
      <w:r>
        <w:rPr>
          <w:rFonts w:cs="Times New Roman"/>
          <w:color w:val="000000" w:themeColor="text1"/>
          <w:spacing w:val="-1"/>
          <w:kern w:val="0"/>
          <w:szCs w:val="24"/>
          <w14:textFill>
            <w14:solidFill>
              <w14:schemeClr w14:val="tx1"/>
            </w14:solidFill>
          </w14:textFill>
        </w:rPr>
        <w:t>采用的标准定型产品质量不合格；对安装的设备没有按《机械设</w:t>
      </w:r>
      <w:r>
        <w:rPr>
          <w:rFonts w:cs="Times New Roman"/>
          <w:color w:val="000000" w:themeColor="text1"/>
          <w:spacing w:val="-2"/>
          <w:kern w:val="0"/>
          <w:szCs w:val="24"/>
          <w14:textFill>
            <w14:solidFill>
              <w14:schemeClr w14:val="tx1"/>
            </w14:solidFill>
          </w14:textFill>
        </w:rPr>
        <w:t>备安装工程及验收规</w:t>
      </w:r>
      <w:r>
        <w:rPr>
          <w:rFonts w:cs="Times New Roman"/>
          <w:color w:val="000000" w:themeColor="text1"/>
          <w:kern w:val="0"/>
          <w:szCs w:val="24"/>
          <w14:textFill>
            <w14:solidFill>
              <w14:schemeClr w14:val="tx1"/>
            </w14:solidFill>
          </w14:textFill>
        </w:rPr>
        <w:t>范》进行验收；设备长期使用后未按规定检修期进行检修，或</w:t>
      </w:r>
      <w:r>
        <w:rPr>
          <w:rFonts w:cs="Times New Roman"/>
          <w:color w:val="000000" w:themeColor="text1"/>
          <w:spacing w:val="-1"/>
          <w:kern w:val="0"/>
          <w:szCs w:val="24"/>
          <w14:textFill>
            <w14:solidFill>
              <w14:schemeClr w14:val="tx1"/>
            </w14:solidFill>
          </w14:textFill>
        </w:rPr>
        <w:t>检修质量差造成泄漏；计测仪表未定期校验，造成计量不准；阀门损坏或开关泄漏，又</w:t>
      </w:r>
      <w:r>
        <w:rPr>
          <w:rFonts w:cs="Times New Roman"/>
          <w:color w:val="000000" w:themeColor="text1"/>
          <w:spacing w:val="-2"/>
          <w:kern w:val="0"/>
          <w:szCs w:val="24"/>
          <w14:textFill>
            <w14:solidFill>
              <w14:schemeClr w14:val="tx1"/>
            </w14:solidFill>
          </w14:textFill>
        </w:rPr>
        <w:t>未及时更换；设备附</w:t>
      </w:r>
      <w:r>
        <w:rPr>
          <w:rFonts w:cs="Times New Roman"/>
          <w:color w:val="000000" w:themeColor="text1"/>
          <w:spacing w:val="-1"/>
          <w:kern w:val="0"/>
          <w:szCs w:val="24"/>
          <w14:textFill>
            <w14:solidFill>
              <w14:schemeClr w14:val="tx1"/>
            </w14:solidFill>
          </w14:textFill>
        </w:rPr>
        <w:t>件质量差，或长期使用后材料变质、腐蚀或破裂等。</w:t>
      </w:r>
    </w:p>
    <w:p w14:paraId="4428C124">
      <w:pPr>
        <w:pStyle w:val="186"/>
        <w:ind w:firstLine="460"/>
        <w:rPr>
          <w:rFonts w:cs="Times New Roman"/>
          <w:color w:val="000000" w:themeColor="text1"/>
          <w:kern w:val="0"/>
          <w:szCs w:val="24"/>
          <w14:textFill>
            <w14:solidFill>
              <w14:schemeClr w14:val="tx1"/>
            </w14:solidFill>
          </w14:textFill>
        </w:rPr>
      </w:pPr>
      <w:r>
        <w:rPr>
          <w:rFonts w:cs="Times New Roman"/>
          <w:color w:val="000000" w:themeColor="text1"/>
          <w:spacing w:val="-5"/>
          <w:kern w:val="0"/>
          <w:szCs w:val="24"/>
          <w14:textFill>
            <w14:solidFill>
              <w14:schemeClr w14:val="tx1"/>
            </w14:solidFill>
          </w14:textFill>
        </w:rPr>
        <w:t>③管理原因</w:t>
      </w:r>
    </w:p>
    <w:p w14:paraId="5E459708">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没有制定完善的安全操作规程；对安全漠不</w:t>
      </w:r>
      <w:r>
        <w:rPr>
          <w:rFonts w:cs="Times New Roman"/>
          <w:color w:val="000000" w:themeColor="text1"/>
          <w:spacing w:val="-2"/>
          <w:kern w:val="0"/>
          <w:szCs w:val="24"/>
          <w14:textFill>
            <w14:solidFill>
              <w14:schemeClr w14:val="tx1"/>
            </w14:solidFill>
          </w14:textFill>
        </w:rPr>
        <w:t>关心，已发现的问题不及时解决；没</w:t>
      </w:r>
      <w:r>
        <w:rPr>
          <w:rFonts w:cs="Times New Roman"/>
          <w:color w:val="000000" w:themeColor="text1"/>
          <w:spacing w:val="-1"/>
          <w:kern w:val="0"/>
          <w:szCs w:val="24"/>
          <w14:textFill>
            <w14:solidFill>
              <w14:schemeClr w14:val="tx1"/>
            </w14:solidFill>
          </w14:textFill>
        </w:rPr>
        <w:t>有严格执行监督检查制度；指挥错误，甚至违章指挥；未经</w:t>
      </w:r>
      <w:r>
        <w:rPr>
          <w:rFonts w:cs="Times New Roman"/>
          <w:color w:val="000000" w:themeColor="text1"/>
          <w:spacing w:val="-2"/>
          <w:kern w:val="0"/>
          <w:szCs w:val="24"/>
          <w14:textFill>
            <w14:solidFill>
              <w14:schemeClr w14:val="tx1"/>
            </w14:solidFill>
          </w14:textFill>
        </w:rPr>
        <w:t>培训的工人上岗，知识不</w:t>
      </w:r>
      <w:r>
        <w:rPr>
          <w:rFonts w:cs="Times New Roman"/>
          <w:color w:val="000000" w:themeColor="text1"/>
          <w:spacing w:val="-1"/>
          <w:kern w:val="0"/>
          <w:szCs w:val="24"/>
          <w14:textFill>
            <w14:solidFill>
              <w14:schemeClr w14:val="tx1"/>
            </w14:solidFill>
          </w14:textFill>
        </w:rPr>
        <w:t>足，不能判断错误；检修制度不严，没有及时检修已出现故</w:t>
      </w:r>
      <w:r>
        <w:rPr>
          <w:rFonts w:cs="Times New Roman"/>
          <w:color w:val="000000" w:themeColor="text1"/>
          <w:spacing w:val="-2"/>
          <w:kern w:val="0"/>
          <w:szCs w:val="24"/>
          <w14:textFill>
            <w14:solidFill>
              <w14:schemeClr w14:val="tx1"/>
            </w14:solidFill>
          </w14:textFill>
        </w:rPr>
        <w:t>障的设备，使设备带病运</w:t>
      </w:r>
      <w:r>
        <w:rPr>
          <w:rFonts w:cs="Times New Roman"/>
          <w:color w:val="000000" w:themeColor="text1"/>
          <w:spacing w:val="-6"/>
          <w:kern w:val="0"/>
          <w:szCs w:val="24"/>
          <w14:textFill>
            <w14:solidFill>
              <w14:schemeClr w14:val="tx1"/>
            </w14:solidFill>
          </w14:textFill>
        </w:rPr>
        <w:t>转。</w:t>
      </w:r>
    </w:p>
    <w:p w14:paraId="29496C45">
      <w:pPr>
        <w:pStyle w:val="186"/>
        <w:ind w:firstLine="464"/>
        <w:rPr>
          <w:rFonts w:cs="Times New Roman"/>
          <w:color w:val="000000" w:themeColor="text1"/>
          <w:kern w:val="0"/>
          <w:szCs w:val="24"/>
          <w14:textFill>
            <w14:solidFill>
              <w14:schemeClr w14:val="tx1"/>
            </w14:solidFill>
          </w14:textFill>
        </w:rPr>
      </w:pPr>
      <w:r>
        <w:rPr>
          <w:rFonts w:cs="Times New Roman"/>
          <w:color w:val="000000" w:themeColor="text1"/>
          <w:spacing w:val="-4"/>
          <w:kern w:val="0"/>
          <w:szCs w:val="24"/>
          <w14:textFill>
            <w14:solidFill>
              <w14:schemeClr w14:val="tx1"/>
            </w14:solidFill>
          </w14:textFill>
        </w:rPr>
        <w:t>④人为失误</w:t>
      </w:r>
    </w:p>
    <w:p w14:paraId="06A1BBC3">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误操作，违反操作规程；判断错误，如记错阀门位置而开错阀门；擅自脱岗；思</w:t>
      </w:r>
      <w:r>
        <w:rPr>
          <w:rFonts w:cs="Times New Roman"/>
          <w:color w:val="000000" w:themeColor="text1"/>
          <w:spacing w:val="-1"/>
          <w:kern w:val="0"/>
          <w:szCs w:val="24"/>
          <w14:textFill>
            <w14:solidFill>
              <w14:schemeClr w14:val="tx1"/>
            </w14:solidFill>
          </w14:textFill>
        </w:rPr>
        <w:t>想不集中，发现异常现象不知如何处理。</w:t>
      </w:r>
    </w:p>
    <w:p w14:paraId="5AB9F872">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（3）风险事故情景分析</w:t>
      </w:r>
    </w:p>
    <w:p w14:paraId="37C25AAB">
      <w:pPr>
        <w:pStyle w:val="186"/>
        <w:ind w:firstLine="476"/>
        <w:jc w:val="both"/>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本项目环境风险物质为硫酸铵，正常情况下为固态常温存储在库房，不会对周围环境造成影响</w:t>
      </w:r>
      <w:r>
        <w:rPr>
          <w:rFonts w:cs="Times New Roman"/>
          <w:color w:val="000000" w:themeColor="text1"/>
          <w:spacing w:val="-3"/>
          <w:kern w:val="0"/>
          <w:szCs w:val="24"/>
          <w14:textFill>
            <w14:solidFill>
              <w14:schemeClr w14:val="tx1"/>
            </w14:solidFill>
          </w14:textFill>
        </w:rPr>
        <w:t>。如包装袋不慎破裂，固体颗粒清扫收集回用生产，不存在地下水、地表水污染途径。</w:t>
      </w:r>
    </w:p>
    <w:p w14:paraId="6313C0D2">
      <w:pPr>
        <w:spacing w:line="219" w:lineRule="auto"/>
        <w:rPr>
          <w:rFonts w:eastAsia="宋体"/>
          <w:color w:val="000000" w:themeColor="text1"/>
          <w:sz w:val="24"/>
          <w14:textFill>
            <w14:solidFill>
              <w14:schemeClr w14:val="tx1"/>
            </w14:solidFill>
          </w14:textFill>
        </w:rPr>
        <w:sectPr>
          <w:footerReference r:id="rId14" w:type="default"/>
          <w:pgSz w:w="11906" w:h="16839"/>
          <w:pgMar w:top="1431" w:right="1469" w:bottom="958" w:left="1540" w:header="0" w:footer="694" w:gutter="0"/>
          <w:cols w:space="720" w:num="1"/>
        </w:sectPr>
      </w:pPr>
    </w:p>
    <w:p w14:paraId="2C0DBA0C">
      <w:pPr>
        <w:pStyle w:val="184"/>
        <w:rPr>
          <w:rFonts w:hint="default" w:cs="Times New Roman"/>
          <w:snapToGrid w:val="0"/>
          <w:color w:val="000000" w:themeColor="text1"/>
          <w:szCs w:val="24"/>
          <w14:textFill>
            <w14:solidFill>
              <w14:schemeClr w14:val="tx1"/>
            </w14:solidFill>
          </w14:textFill>
        </w:rPr>
      </w:pPr>
      <w:bookmarkStart w:id="117" w:name="_Toc191543578"/>
      <w:bookmarkStart w:id="118" w:name="_Toc23887"/>
      <w:bookmarkStart w:id="119" w:name="_Toc190759002"/>
      <w:bookmarkStart w:id="120" w:name="_Toc192084909"/>
      <w:bookmarkStart w:id="121" w:name="_Toc18774"/>
      <w:r>
        <w:rPr>
          <w:rFonts w:hint="default" w:cs="Times New Roman"/>
          <w:snapToGrid w:val="0"/>
          <w:color w:val="000000" w:themeColor="text1"/>
          <w:spacing w:val="-3"/>
          <w:szCs w:val="24"/>
          <w14:textFill>
            <w14:solidFill>
              <w14:schemeClr w14:val="tx1"/>
            </w14:solidFill>
          </w14:textFill>
        </w:rPr>
        <w:t>8.源项分析</w:t>
      </w:r>
      <w:bookmarkEnd w:id="117"/>
      <w:bookmarkEnd w:id="118"/>
      <w:bookmarkEnd w:id="119"/>
      <w:bookmarkEnd w:id="120"/>
      <w:bookmarkEnd w:id="121"/>
    </w:p>
    <w:p w14:paraId="60D2C09D">
      <w:pPr>
        <w:pStyle w:val="186"/>
        <w:ind w:firstLine="468"/>
        <w:rPr>
          <w:rFonts w:cs="Times New Roman"/>
          <w:color w:val="000000" w:themeColor="text1"/>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根据《建设项目环境风险评价技术导则》（HJ169-2018</w:t>
      </w:r>
      <w:r>
        <w:rPr>
          <w:rFonts w:cs="Times New Roman"/>
          <w:color w:val="000000" w:themeColor="text1"/>
          <w:spacing w:val="-5"/>
          <w:kern w:val="0"/>
          <w:szCs w:val="24"/>
          <w14:textFill>
            <w14:solidFill>
              <w14:schemeClr w14:val="tx1"/>
            </w14:solidFill>
          </w14:textFill>
        </w:rPr>
        <w:t>），</w:t>
      </w:r>
      <w:r>
        <w:rPr>
          <w:rFonts w:cs="Times New Roman"/>
          <w:color w:val="000000" w:themeColor="text1"/>
          <w:spacing w:val="-3"/>
          <w:kern w:val="0"/>
          <w:szCs w:val="24"/>
          <w14:textFill>
            <w14:solidFill>
              <w14:schemeClr w14:val="tx1"/>
            </w14:solidFill>
          </w14:textFill>
        </w:rPr>
        <w:t>物质的泄漏主要针对</w:t>
      </w:r>
      <w:r>
        <w:rPr>
          <w:rFonts w:cs="Times New Roman"/>
          <w:color w:val="000000" w:themeColor="text1"/>
          <w:spacing w:val="-1"/>
          <w:kern w:val="0"/>
          <w:szCs w:val="24"/>
          <w14:textFill>
            <w14:solidFill>
              <w14:schemeClr w14:val="tx1"/>
            </w14:solidFill>
          </w14:textFill>
        </w:rPr>
        <w:t>液体和气体类型的环境风险物质，本项目危险物质为硫酸铵、属</w:t>
      </w:r>
      <w:r>
        <w:rPr>
          <w:rFonts w:cs="Times New Roman"/>
          <w:color w:val="000000" w:themeColor="text1"/>
          <w:spacing w:val="-2"/>
          <w:kern w:val="0"/>
          <w:szCs w:val="24"/>
          <w14:textFill>
            <w14:solidFill>
              <w14:schemeClr w14:val="tx1"/>
            </w14:solidFill>
          </w14:textFill>
        </w:rPr>
        <w:t>于固体物质，无法根</w:t>
      </w:r>
      <w:r>
        <w:rPr>
          <w:rFonts w:cs="Times New Roman"/>
          <w:color w:val="000000" w:themeColor="text1"/>
          <w:spacing w:val="-1"/>
          <w:kern w:val="0"/>
          <w:szCs w:val="24"/>
          <w14:textFill>
            <w14:solidFill>
              <w14:schemeClr w14:val="tx1"/>
            </w14:solidFill>
          </w14:textFill>
        </w:rPr>
        <w:t>据导则中的公式进行核算泄漏源强。硫酸铵本身不燃，但当厂区</w:t>
      </w:r>
      <w:r>
        <w:rPr>
          <w:rFonts w:cs="Times New Roman"/>
          <w:color w:val="000000" w:themeColor="text1"/>
          <w:spacing w:val="-2"/>
          <w:kern w:val="0"/>
          <w:szCs w:val="24"/>
          <w14:textFill>
            <w14:solidFill>
              <w14:schemeClr w14:val="tx1"/>
            </w14:solidFill>
          </w14:textFill>
        </w:rPr>
        <w:t>内发生火灾时，在原</w:t>
      </w:r>
      <w:r>
        <w:rPr>
          <w:rFonts w:cs="Times New Roman"/>
          <w:color w:val="000000" w:themeColor="text1"/>
          <w:spacing w:val="-1"/>
          <w:kern w:val="0"/>
          <w:szCs w:val="24"/>
          <w14:textFill>
            <w14:solidFill>
              <w14:schemeClr w14:val="tx1"/>
            </w14:solidFill>
          </w14:textFill>
        </w:rPr>
        <w:t>料库房内存储的硫酸铵受热分解产生氨气、二氧化硫等次生污染</w:t>
      </w:r>
      <w:r>
        <w:rPr>
          <w:rFonts w:cs="Times New Roman"/>
          <w:color w:val="000000" w:themeColor="text1"/>
          <w:spacing w:val="-2"/>
          <w:kern w:val="0"/>
          <w:szCs w:val="24"/>
          <w14:textFill>
            <w14:solidFill>
              <w14:schemeClr w14:val="tx1"/>
            </w14:solidFill>
          </w14:textFill>
        </w:rPr>
        <w:t>物，从而造成大气污</w:t>
      </w:r>
      <w:r>
        <w:rPr>
          <w:rFonts w:cs="Times New Roman"/>
          <w:color w:val="000000" w:themeColor="text1"/>
          <w:spacing w:val="3"/>
          <w:kern w:val="0"/>
          <w:szCs w:val="24"/>
          <w14:textFill>
            <w14:solidFill>
              <w14:schemeClr w14:val="tx1"/>
            </w14:solidFill>
          </w14:textFill>
        </w:rPr>
        <w:t>染。若包装袋发生破损，一袋物料将全部洒落到地面，本项目一袋原料最大按50</w:t>
      </w:r>
      <w:r>
        <w:rPr>
          <w:rFonts w:cs="Times New Roman"/>
          <w:color w:val="000000" w:themeColor="text1"/>
          <w:kern w:val="0"/>
          <w:szCs w:val="24"/>
          <w14:textFill>
            <w14:solidFill>
              <w14:schemeClr w14:val="tx1"/>
            </w14:solidFill>
          </w14:textFill>
        </w:rPr>
        <w:t>kg</w:t>
      </w:r>
      <w:r>
        <w:rPr>
          <w:rFonts w:cs="Times New Roman"/>
          <w:color w:val="000000" w:themeColor="text1"/>
          <w:spacing w:val="-1"/>
          <w:kern w:val="0"/>
          <w:szCs w:val="24"/>
          <w14:textFill>
            <w14:solidFill>
              <w14:schemeClr w14:val="tx1"/>
            </w14:solidFill>
          </w14:textFill>
        </w:rPr>
        <w:t>计算，根据硫酸铵分解化学式3(NH</w:t>
      </w:r>
      <w:r>
        <w:rPr>
          <w:rFonts w:cs="Times New Roman"/>
          <w:color w:val="000000" w:themeColor="text1"/>
          <w:spacing w:val="-1"/>
          <w:kern w:val="0"/>
          <w:position w:val="-1"/>
          <w:sz w:val="15"/>
          <w:szCs w:val="15"/>
          <w14:textFill>
            <w14:solidFill>
              <w14:schemeClr w14:val="tx1"/>
            </w14:solidFill>
          </w14:textFill>
        </w:rPr>
        <w:t>4</w:t>
      </w:r>
      <w:r>
        <w:rPr>
          <w:rFonts w:cs="Times New Roman"/>
          <w:color w:val="000000" w:themeColor="text1"/>
          <w:spacing w:val="-1"/>
          <w:kern w:val="0"/>
          <w:szCs w:val="24"/>
          <w14:textFill>
            <w14:solidFill>
              <w14:schemeClr w14:val="tx1"/>
            </w14:solidFill>
          </w14:textFill>
        </w:rPr>
        <w:t>)</w:t>
      </w:r>
      <w:r>
        <w:rPr>
          <w:rFonts w:cs="Times New Roman"/>
          <w:color w:val="000000" w:themeColor="text1"/>
          <w:spacing w:val="-1"/>
          <w:kern w:val="0"/>
          <w:position w:val="-1"/>
          <w:sz w:val="15"/>
          <w:szCs w:val="15"/>
          <w14:textFill>
            <w14:solidFill>
              <w14:schemeClr w14:val="tx1"/>
            </w14:solidFill>
          </w14:textFill>
        </w:rPr>
        <w:t>2</w:t>
      </w:r>
      <w:r>
        <w:rPr>
          <w:rFonts w:cs="Times New Roman"/>
          <w:color w:val="000000" w:themeColor="text1"/>
          <w:spacing w:val="-1"/>
          <w:kern w:val="0"/>
          <w:szCs w:val="24"/>
          <w14:textFill>
            <w14:solidFill>
              <w14:schemeClr w14:val="tx1"/>
            </w14:solidFill>
          </w14:textFill>
        </w:rPr>
        <w:t>SO</w:t>
      </w:r>
      <w:r>
        <w:rPr>
          <w:rFonts w:cs="Times New Roman"/>
          <w:color w:val="000000" w:themeColor="text1"/>
          <w:spacing w:val="-2"/>
          <w:kern w:val="0"/>
          <w:position w:val="-1"/>
          <w:sz w:val="15"/>
          <w:szCs w:val="15"/>
          <w14:textFill>
            <w14:solidFill>
              <w14:schemeClr w14:val="tx1"/>
            </w14:solidFill>
          </w14:textFill>
        </w:rPr>
        <w:t>4</w:t>
      </w:r>
      <w:r>
        <w:rPr>
          <w:rFonts w:cs="Times New Roman"/>
          <w:color w:val="000000" w:themeColor="text1"/>
          <w:spacing w:val="-2"/>
          <w:kern w:val="0"/>
          <w:szCs w:val="24"/>
          <w14:textFill>
            <w14:solidFill>
              <w14:schemeClr w14:val="tx1"/>
            </w14:solidFill>
          </w14:textFill>
        </w:rPr>
        <w:t>===4NH</w:t>
      </w:r>
      <w:r>
        <w:rPr>
          <w:rFonts w:cs="Times New Roman"/>
          <w:color w:val="000000" w:themeColor="text1"/>
          <w:spacing w:val="-2"/>
          <w:kern w:val="0"/>
          <w:position w:val="-1"/>
          <w:sz w:val="15"/>
          <w:szCs w:val="15"/>
          <w14:textFill>
            <w14:solidFill>
              <w14:schemeClr w14:val="tx1"/>
            </w14:solidFill>
          </w14:textFill>
        </w:rPr>
        <w:t>3</w:t>
      </w:r>
      <w:r>
        <w:rPr>
          <w:rFonts w:cs="Times New Roman"/>
          <w:color w:val="000000" w:themeColor="text1"/>
          <w:spacing w:val="-2"/>
          <w:kern w:val="0"/>
          <w:szCs w:val="24"/>
          <w14:textFill>
            <w14:solidFill>
              <w14:schemeClr w14:val="tx1"/>
            </w14:solidFill>
          </w14:textFill>
        </w:rPr>
        <w:t>+N</w:t>
      </w:r>
      <w:r>
        <w:rPr>
          <w:rFonts w:cs="Times New Roman"/>
          <w:color w:val="000000" w:themeColor="text1"/>
          <w:spacing w:val="-2"/>
          <w:kern w:val="0"/>
          <w:position w:val="-1"/>
          <w:sz w:val="15"/>
          <w:szCs w:val="15"/>
          <w14:textFill>
            <w14:solidFill>
              <w14:schemeClr w14:val="tx1"/>
            </w14:solidFill>
          </w14:textFill>
        </w:rPr>
        <w:t>2</w:t>
      </w:r>
      <w:r>
        <w:rPr>
          <w:rFonts w:cs="Times New Roman"/>
          <w:color w:val="000000" w:themeColor="text1"/>
          <w:spacing w:val="-2"/>
          <w:kern w:val="0"/>
          <w:szCs w:val="24"/>
          <w14:textFill>
            <w14:solidFill>
              <w14:schemeClr w14:val="tx1"/>
            </w14:solidFill>
          </w14:textFill>
        </w:rPr>
        <w:t>+6H</w:t>
      </w:r>
      <w:r>
        <w:rPr>
          <w:rFonts w:cs="Times New Roman"/>
          <w:color w:val="000000" w:themeColor="text1"/>
          <w:spacing w:val="-2"/>
          <w:kern w:val="0"/>
          <w:position w:val="-1"/>
          <w:sz w:val="15"/>
          <w:szCs w:val="15"/>
          <w14:textFill>
            <w14:solidFill>
              <w14:schemeClr w14:val="tx1"/>
            </w14:solidFill>
          </w14:textFill>
        </w:rPr>
        <w:t>2</w:t>
      </w:r>
      <w:r>
        <w:rPr>
          <w:rFonts w:cs="Times New Roman"/>
          <w:color w:val="000000" w:themeColor="text1"/>
          <w:spacing w:val="-2"/>
          <w:kern w:val="0"/>
          <w:szCs w:val="24"/>
          <w14:textFill>
            <w14:solidFill>
              <w14:schemeClr w14:val="tx1"/>
            </w14:solidFill>
          </w14:textFill>
        </w:rPr>
        <w:t>O+3SO</w:t>
      </w:r>
      <w:r>
        <w:rPr>
          <w:rFonts w:cs="Times New Roman"/>
          <w:color w:val="000000" w:themeColor="text1"/>
          <w:spacing w:val="-2"/>
          <w:kern w:val="0"/>
          <w:position w:val="-1"/>
          <w:sz w:val="15"/>
          <w:szCs w:val="15"/>
          <w14:textFill>
            <w14:solidFill>
              <w14:schemeClr w14:val="tx1"/>
            </w14:solidFill>
          </w14:textFill>
        </w:rPr>
        <w:t>2</w:t>
      </w:r>
      <w:r>
        <w:rPr>
          <w:rFonts w:cs="Times New Roman"/>
          <w:color w:val="000000" w:themeColor="text1"/>
          <w:spacing w:val="-2"/>
          <w:kern w:val="0"/>
          <w:szCs w:val="24"/>
          <w14:textFill>
            <w14:solidFill>
              <w14:schemeClr w14:val="tx1"/>
            </w14:solidFill>
          </w14:textFill>
        </w:rPr>
        <w:t>，则硫酸铵受热分解生产NH</w:t>
      </w:r>
      <w:r>
        <w:rPr>
          <w:rFonts w:cs="Times New Roman"/>
          <w:color w:val="000000" w:themeColor="text1"/>
          <w:spacing w:val="-2"/>
          <w:kern w:val="0"/>
          <w:position w:val="-1"/>
          <w:sz w:val="15"/>
          <w:szCs w:val="15"/>
          <w14:textFill>
            <w14:solidFill>
              <w14:schemeClr w14:val="tx1"/>
            </w14:solidFill>
          </w14:textFill>
        </w:rPr>
        <w:t>3</w:t>
      </w:r>
      <w:r>
        <w:rPr>
          <w:rFonts w:cs="Times New Roman"/>
          <w:color w:val="000000" w:themeColor="text1"/>
          <w:spacing w:val="-2"/>
          <w:kern w:val="0"/>
          <w:szCs w:val="24"/>
          <w14:textFill>
            <w14:solidFill>
              <w14:schemeClr w14:val="tx1"/>
            </w14:solidFill>
          </w14:textFill>
        </w:rPr>
        <w:t>8.59kg、SO</w:t>
      </w:r>
      <w:r>
        <w:rPr>
          <w:rFonts w:cs="Times New Roman"/>
          <w:color w:val="000000" w:themeColor="text1"/>
          <w:spacing w:val="-2"/>
          <w:kern w:val="0"/>
          <w:position w:val="-1"/>
          <w:sz w:val="15"/>
          <w:szCs w:val="15"/>
          <w14:textFill>
            <w14:solidFill>
              <w14:schemeClr w14:val="tx1"/>
            </w14:solidFill>
          </w14:textFill>
        </w:rPr>
        <w:t>2</w:t>
      </w:r>
      <w:r>
        <w:rPr>
          <w:rFonts w:cs="Times New Roman"/>
          <w:color w:val="000000" w:themeColor="text1"/>
          <w:spacing w:val="-2"/>
          <w:kern w:val="0"/>
          <w:szCs w:val="24"/>
          <w14:textFill>
            <w14:solidFill>
              <w14:schemeClr w14:val="tx1"/>
            </w14:solidFill>
          </w14:textFill>
        </w:rPr>
        <w:t>24.24kg。一般情况下，设置紧急隔离系统的单元，泄漏时间</w:t>
      </w:r>
      <w:r>
        <w:rPr>
          <w:rFonts w:cs="Times New Roman"/>
          <w:color w:val="000000" w:themeColor="text1"/>
          <w:spacing w:val="-4"/>
          <w:kern w:val="0"/>
          <w:szCs w:val="24"/>
          <w14:textFill>
            <w14:solidFill>
              <w14:schemeClr w14:val="tx1"/>
            </w14:solidFill>
          </w14:textFill>
        </w:rPr>
        <w:t>可设定为10min，则NH</w:t>
      </w:r>
      <w:r>
        <w:rPr>
          <w:rFonts w:cs="Times New Roman"/>
          <w:color w:val="000000" w:themeColor="text1"/>
          <w:spacing w:val="-4"/>
          <w:kern w:val="0"/>
          <w:position w:val="-1"/>
          <w:sz w:val="15"/>
          <w:szCs w:val="15"/>
          <w14:textFill>
            <w14:solidFill>
              <w14:schemeClr w14:val="tx1"/>
            </w14:solidFill>
          </w14:textFill>
        </w:rPr>
        <w:t>3</w:t>
      </w:r>
      <w:r>
        <w:rPr>
          <w:rFonts w:cs="Times New Roman"/>
          <w:color w:val="000000" w:themeColor="text1"/>
          <w:spacing w:val="-4"/>
          <w:kern w:val="0"/>
          <w:szCs w:val="24"/>
          <w14:textFill>
            <w14:solidFill>
              <w14:schemeClr w14:val="tx1"/>
            </w14:solidFill>
          </w14:textFill>
        </w:rPr>
        <w:t>产生量为0.0143kg/s、SO</w:t>
      </w:r>
      <w:r>
        <w:rPr>
          <w:rFonts w:cs="Times New Roman"/>
          <w:color w:val="000000" w:themeColor="text1"/>
          <w:spacing w:val="-4"/>
          <w:kern w:val="0"/>
          <w:position w:val="-1"/>
          <w:sz w:val="15"/>
          <w:szCs w:val="15"/>
          <w14:textFill>
            <w14:solidFill>
              <w14:schemeClr w14:val="tx1"/>
            </w14:solidFill>
          </w14:textFill>
        </w:rPr>
        <w:t>2</w:t>
      </w:r>
      <w:r>
        <w:rPr>
          <w:rFonts w:cs="Times New Roman"/>
          <w:color w:val="000000" w:themeColor="text1"/>
          <w:spacing w:val="-4"/>
          <w:kern w:val="0"/>
          <w:szCs w:val="24"/>
          <w14:textFill>
            <w14:solidFill>
              <w14:schemeClr w14:val="tx1"/>
            </w14:solidFill>
          </w14:textFill>
        </w:rPr>
        <w:t>产生量为0.0404kg/s。综上，则本</w:t>
      </w:r>
      <w:r>
        <w:rPr>
          <w:rFonts w:cs="Times New Roman"/>
          <w:color w:val="000000" w:themeColor="text1"/>
          <w:spacing w:val="-2"/>
          <w:kern w:val="0"/>
          <w:szCs w:val="24"/>
          <w14:textFill>
            <w14:solidFill>
              <w14:schemeClr w14:val="tx1"/>
            </w14:solidFill>
          </w14:textFill>
        </w:rPr>
        <w:t>项目风险源强见下表。</w:t>
      </w:r>
    </w:p>
    <w:p w14:paraId="7E1F803B">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储罐事故泄漏源强</w:t>
      </w:r>
    </w:p>
    <w:tbl>
      <w:tblPr>
        <w:tblStyle w:val="171"/>
        <w:tblW w:w="9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6"/>
        <w:gridCol w:w="667"/>
        <w:gridCol w:w="694"/>
        <w:gridCol w:w="618"/>
        <w:gridCol w:w="563"/>
        <w:gridCol w:w="1088"/>
        <w:gridCol w:w="829"/>
        <w:gridCol w:w="701"/>
        <w:gridCol w:w="927"/>
        <w:gridCol w:w="814"/>
        <w:gridCol w:w="794"/>
        <w:gridCol w:w="798"/>
      </w:tblGrid>
      <w:tr w14:paraId="40D9C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566" w:type="dxa"/>
            <w:textDirection w:val="tbRlV"/>
            <w:vAlign w:val="center"/>
          </w:tcPr>
          <w:p w14:paraId="1AA7143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序号</w:t>
            </w:r>
          </w:p>
        </w:tc>
        <w:tc>
          <w:tcPr>
            <w:tcW w:w="667" w:type="dxa"/>
            <w:vAlign w:val="center"/>
          </w:tcPr>
          <w:p w14:paraId="50A25996">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风险事故情形描述</w:t>
            </w:r>
          </w:p>
        </w:tc>
        <w:tc>
          <w:tcPr>
            <w:tcW w:w="694" w:type="dxa"/>
            <w:vAlign w:val="center"/>
          </w:tcPr>
          <w:p w14:paraId="577E197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泄漏</w:t>
            </w:r>
            <w:r>
              <w:rPr>
                <w:rFonts w:eastAsia="宋体"/>
                <w:snapToGrid w:val="0"/>
                <w:color w:val="000000" w:themeColor="text1"/>
                <w:spacing w:val="-12"/>
                <w:kern w:val="0"/>
                <w:szCs w:val="20"/>
                <w:lang w:eastAsia="en-US"/>
                <w14:textFill>
                  <w14:solidFill>
                    <w14:schemeClr w14:val="tx1"/>
                  </w14:solidFill>
                </w14:textFill>
              </w:rPr>
              <w:t>口径</w:t>
            </w:r>
          </w:p>
        </w:tc>
        <w:tc>
          <w:tcPr>
            <w:tcW w:w="618" w:type="dxa"/>
            <w:textDirection w:val="tbRlV"/>
            <w:vAlign w:val="center"/>
          </w:tcPr>
          <w:p w14:paraId="7C32B04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危险单元</w:t>
            </w:r>
          </w:p>
        </w:tc>
        <w:tc>
          <w:tcPr>
            <w:tcW w:w="563" w:type="dxa"/>
            <w:textDirection w:val="tbRlV"/>
            <w:vAlign w:val="center"/>
          </w:tcPr>
          <w:p w14:paraId="4EA05E5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危险物质</w:t>
            </w:r>
          </w:p>
        </w:tc>
        <w:tc>
          <w:tcPr>
            <w:tcW w:w="1088" w:type="dxa"/>
            <w:vAlign w:val="center"/>
          </w:tcPr>
          <w:p w14:paraId="50204E3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影响途径</w:t>
            </w:r>
          </w:p>
        </w:tc>
        <w:tc>
          <w:tcPr>
            <w:tcW w:w="829" w:type="dxa"/>
            <w:vAlign w:val="center"/>
          </w:tcPr>
          <w:p w14:paraId="40AD00FF">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泄漏</w:t>
            </w:r>
            <w:r>
              <w:rPr>
                <w:rFonts w:eastAsia="宋体"/>
                <w:snapToGrid w:val="0"/>
                <w:color w:val="000000" w:themeColor="text1"/>
                <w:spacing w:val="5"/>
                <w:kern w:val="0"/>
                <w:szCs w:val="20"/>
                <w:lang w:eastAsia="en-US"/>
                <w14:textFill>
                  <w14:solidFill>
                    <w14:schemeClr w14:val="tx1"/>
                  </w14:solidFill>
                </w14:textFill>
              </w:rPr>
              <w:t>速率</w:t>
            </w:r>
            <w:r>
              <w:rPr>
                <w:rFonts w:eastAsia="宋体"/>
                <w:snapToGrid w:val="0"/>
                <w:color w:val="000000" w:themeColor="text1"/>
                <w:spacing w:val="10"/>
                <w:kern w:val="0"/>
                <w:szCs w:val="20"/>
                <w:lang w:eastAsia="en-US"/>
                <w14:textFill>
                  <w14:solidFill>
                    <w14:schemeClr w14:val="tx1"/>
                  </w14:solidFill>
                </w14:textFill>
              </w:rPr>
              <w:t>kg/s</w:t>
            </w:r>
          </w:p>
        </w:tc>
        <w:tc>
          <w:tcPr>
            <w:tcW w:w="701" w:type="dxa"/>
            <w:vAlign w:val="center"/>
          </w:tcPr>
          <w:p w14:paraId="51E5AE73">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泄漏</w:t>
            </w:r>
            <w:r>
              <w:rPr>
                <w:rFonts w:eastAsia="宋体"/>
                <w:snapToGrid w:val="0"/>
                <w:color w:val="000000" w:themeColor="text1"/>
                <w:kern w:val="0"/>
                <w:szCs w:val="20"/>
                <w:lang w:eastAsia="en-US"/>
                <w14:textFill>
                  <w14:solidFill>
                    <w14:schemeClr w14:val="tx1"/>
                  </w14:solidFill>
                </w14:textFill>
              </w:rPr>
              <w:t>时间</w:t>
            </w:r>
            <w:r>
              <w:rPr>
                <w:rFonts w:eastAsia="宋体"/>
                <w:snapToGrid w:val="0"/>
                <w:color w:val="000000" w:themeColor="text1"/>
                <w:spacing w:val="15"/>
                <w:kern w:val="0"/>
                <w:szCs w:val="20"/>
                <w:lang w:eastAsia="en-US"/>
                <w14:textFill>
                  <w14:solidFill>
                    <w14:schemeClr w14:val="tx1"/>
                  </w14:solidFill>
                </w14:textFill>
              </w:rPr>
              <w:t>/</w:t>
            </w:r>
            <w:r>
              <w:rPr>
                <w:rFonts w:eastAsia="宋体"/>
                <w:snapToGrid w:val="0"/>
                <w:color w:val="000000" w:themeColor="text1"/>
                <w:kern w:val="0"/>
                <w:szCs w:val="20"/>
                <w:lang w:eastAsia="en-US"/>
                <w14:textFill>
                  <w14:solidFill>
                    <w14:schemeClr w14:val="tx1"/>
                  </w14:solidFill>
                </w14:textFill>
              </w:rPr>
              <w:t>min</w:t>
            </w:r>
          </w:p>
        </w:tc>
        <w:tc>
          <w:tcPr>
            <w:tcW w:w="927" w:type="dxa"/>
            <w:vAlign w:val="center"/>
          </w:tcPr>
          <w:p w14:paraId="6FEDE4B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最大泄</w:t>
            </w:r>
            <w:r>
              <w:rPr>
                <w:rFonts w:eastAsia="宋体"/>
                <w:snapToGrid w:val="0"/>
                <w:color w:val="000000" w:themeColor="text1"/>
                <w:spacing w:val="7"/>
                <w:kern w:val="0"/>
                <w:szCs w:val="20"/>
                <w:lang w:eastAsia="en-US"/>
                <w14:textFill>
                  <w14:solidFill>
                    <w14:schemeClr w14:val="tx1"/>
                  </w14:solidFill>
                </w14:textFill>
              </w:rPr>
              <w:t>漏量/</w:t>
            </w:r>
            <w:r>
              <w:rPr>
                <w:rFonts w:eastAsia="宋体"/>
                <w:snapToGrid w:val="0"/>
                <w:color w:val="000000" w:themeColor="text1"/>
                <w:kern w:val="0"/>
                <w:szCs w:val="20"/>
                <w:lang w:eastAsia="en-US"/>
                <w14:textFill>
                  <w14:solidFill>
                    <w14:schemeClr w14:val="tx1"/>
                  </w14:solidFill>
                </w14:textFill>
              </w:rPr>
              <w:t>kg</w:t>
            </w:r>
          </w:p>
        </w:tc>
        <w:tc>
          <w:tcPr>
            <w:tcW w:w="814" w:type="dxa"/>
            <w:vAlign w:val="center"/>
          </w:tcPr>
          <w:p w14:paraId="25ADB0A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泄漏</w:t>
            </w:r>
            <w:r>
              <w:rPr>
                <w:rFonts w:eastAsia="宋体"/>
                <w:snapToGrid w:val="0"/>
                <w:color w:val="000000" w:themeColor="text1"/>
                <w:spacing w:val="19"/>
                <w:kern w:val="0"/>
                <w:szCs w:val="20"/>
                <w:lang w:eastAsia="en-US"/>
                <w14:textFill>
                  <w14:solidFill>
                    <w14:schemeClr w14:val="tx1"/>
                  </w14:solidFill>
                </w14:textFill>
              </w:rPr>
              <w:t>液体蒸发</w:t>
            </w:r>
            <w:r>
              <w:rPr>
                <w:rFonts w:eastAsia="宋体"/>
                <w:snapToGrid w:val="0"/>
                <w:color w:val="000000" w:themeColor="text1"/>
                <w:spacing w:val="6"/>
                <w:kern w:val="0"/>
                <w:szCs w:val="20"/>
                <w:lang w:eastAsia="en-US"/>
                <w14:textFill>
                  <w14:solidFill>
                    <w14:schemeClr w14:val="tx1"/>
                  </w14:solidFill>
                </w14:textFill>
              </w:rPr>
              <w:t>量/</w:t>
            </w:r>
            <w:r>
              <w:rPr>
                <w:rFonts w:eastAsia="宋体"/>
                <w:snapToGrid w:val="0"/>
                <w:color w:val="000000" w:themeColor="text1"/>
                <w:kern w:val="0"/>
                <w:szCs w:val="20"/>
                <w:lang w:eastAsia="en-US"/>
                <w14:textFill>
                  <w14:solidFill>
                    <w14:schemeClr w14:val="tx1"/>
                  </w14:solidFill>
                </w14:textFill>
              </w:rPr>
              <w:t>kg</w:t>
            </w:r>
          </w:p>
        </w:tc>
        <w:tc>
          <w:tcPr>
            <w:tcW w:w="794" w:type="dxa"/>
            <w:vAlign w:val="center"/>
          </w:tcPr>
          <w:p w14:paraId="7B1CD95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次生</w:t>
            </w:r>
            <w:r>
              <w:rPr>
                <w:rFonts w:eastAsia="宋体"/>
                <w:snapToGrid w:val="0"/>
                <w:color w:val="000000" w:themeColor="text1"/>
                <w:spacing w:val="7"/>
                <w:w w:val="123"/>
                <w:kern w:val="0"/>
                <w:szCs w:val="20"/>
                <w:lang w:eastAsia="en-US"/>
                <w14:textFill>
                  <w14:solidFill>
                    <w14:schemeClr w14:val="tx1"/>
                  </w14:solidFill>
                </w14:textFill>
              </w:rPr>
              <w:t>NH</w:t>
            </w:r>
            <w:r>
              <w:rPr>
                <w:rFonts w:eastAsia="宋体"/>
                <w:snapToGrid w:val="0"/>
                <w:color w:val="000000" w:themeColor="text1"/>
                <w:spacing w:val="7"/>
                <w:w w:val="123"/>
                <w:kern w:val="0"/>
                <w:position w:val="-1"/>
                <w:szCs w:val="13"/>
                <w:vertAlign w:val="subscript"/>
                <w:lang w:eastAsia="en-US"/>
                <w14:textFill>
                  <w14:solidFill>
                    <w14:schemeClr w14:val="tx1"/>
                  </w14:solidFill>
                </w14:textFill>
              </w:rPr>
              <w:t>3</w:t>
            </w:r>
            <w:r>
              <w:rPr>
                <w:rFonts w:eastAsia="宋体"/>
                <w:snapToGrid w:val="0"/>
                <w:color w:val="000000" w:themeColor="text1"/>
                <w:spacing w:val="4"/>
                <w:kern w:val="0"/>
                <w:szCs w:val="20"/>
                <w:lang w:eastAsia="en-US"/>
                <w14:textFill>
                  <w14:solidFill>
                    <w14:schemeClr w14:val="tx1"/>
                  </w14:solidFill>
                </w14:textFill>
              </w:rPr>
              <w:t>量</w:t>
            </w:r>
            <w:r>
              <w:rPr>
                <w:rFonts w:eastAsia="宋体"/>
                <w:snapToGrid w:val="0"/>
                <w:color w:val="000000" w:themeColor="text1"/>
                <w:kern w:val="0"/>
                <w:szCs w:val="20"/>
                <w:lang w:eastAsia="en-US"/>
                <w14:textFill>
                  <w14:solidFill>
                    <w14:schemeClr w14:val="tx1"/>
                  </w14:solidFill>
                </w14:textFill>
              </w:rPr>
              <w:t>kg</w:t>
            </w:r>
            <w:r>
              <w:rPr>
                <w:rFonts w:eastAsia="宋体"/>
                <w:snapToGrid w:val="0"/>
                <w:color w:val="000000" w:themeColor="text1"/>
                <w:spacing w:val="4"/>
                <w:kern w:val="0"/>
                <w:szCs w:val="20"/>
                <w:lang w:eastAsia="en-US"/>
                <w14:textFill>
                  <w14:solidFill>
                    <w14:schemeClr w14:val="tx1"/>
                  </w14:solidFill>
                </w14:textFill>
              </w:rPr>
              <w:t>/s</w:t>
            </w:r>
          </w:p>
        </w:tc>
        <w:tc>
          <w:tcPr>
            <w:tcW w:w="798" w:type="dxa"/>
            <w:vAlign w:val="center"/>
          </w:tcPr>
          <w:p w14:paraId="625BFAA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次生</w:t>
            </w:r>
            <w:r>
              <w:rPr>
                <w:rFonts w:eastAsia="宋体"/>
                <w:snapToGrid w:val="0"/>
                <w:color w:val="000000" w:themeColor="text1"/>
                <w:kern w:val="0"/>
                <w:szCs w:val="20"/>
                <w:lang w:eastAsia="en-US"/>
                <w14:textFill>
                  <w14:solidFill>
                    <w14:schemeClr w14:val="tx1"/>
                  </w14:solidFill>
                </w14:textFill>
              </w:rPr>
              <w:t>SO</w:t>
            </w:r>
            <w:r>
              <w:rPr>
                <w:rFonts w:eastAsia="宋体"/>
                <w:snapToGrid w:val="0"/>
                <w:color w:val="000000" w:themeColor="text1"/>
                <w:spacing w:val="5"/>
                <w:kern w:val="0"/>
                <w:position w:val="-1"/>
                <w:szCs w:val="13"/>
                <w:vertAlign w:val="subscript"/>
                <w:lang w:eastAsia="en-US"/>
                <w14:textFill>
                  <w14:solidFill>
                    <w14:schemeClr w14:val="tx1"/>
                  </w14:solidFill>
                </w14:textFill>
              </w:rPr>
              <w:t>2</w:t>
            </w:r>
            <w:r>
              <w:rPr>
                <w:rFonts w:eastAsia="宋体"/>
                <w:snapToGrid w:val="0"/>
                <w:color w:val="000000" w:themeColor="text1"/>
                <w:spacing w:val="5"/>
                <w:kern w:val="0"/>
                <w:szCs w:val="20"/>
                <w:lang w:eastAsia="en-US"/>
                <w14:textFill>
                  <w14:solidFill>
                    <w14:schemeClr w14:val="tx1"/>
                  </w14:solidFill>
                </w14:textFill>
              </w:rPr>
              <w:t>量</w:t>
            </w:r>
            <w:r>
              <w:rPr>
                <w:rFonts w:eastAsia="宋体"/>
                <w:snapToGrid w:val="0"/>
                <w:color w:val="000000" w:themeColor="text1"/>
                <w:spacing w:val="6"/>
                <w:w w:val="122"/>
                <w:kern w:val="0"/>
                <w:szCs w:val="20"/>
                <w:lang w:eastAsia="en-US"/>
                <w14:textFill>
                  <w14:solidFill>
                    <w14:schemeClr w14:val="tx1"/>
                  </w14:solidFill>
                </w14:textFill>
              </w:rPr>
              <w:t>kg/s</w:t>
            </w:r>
          </w:p>
        </w:tc>
      </w:tr>
      <w:tr w14:paraId="7547E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566" w:type="dxa"/>
            <w:vAlign w:val="center"/>
          </w:tcPr>
          <w:p w14:paraId="265B6FE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1</w:t>
            </w:r>
          </w:p>
        </w:tc>
        <w:tc>
          <w:tcPr>
            <w:tcW w:w="667" w:type="dxa"/>
            <w:vAlign w:val="center"/>
          </w:tcPr>
          <w:p w14:paraId="3C3ED13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容器</w:t>
            </w:r>
          </w:p>
          <w:p w14:paraId="2202037F">
            <w:pPr>
              <w:keepNext w:val="0"/>
              <w:keepLines w:val="0"/>
              <w:pageBreakBefore w:val="0"/>
              <w:widowControl w:val="0"/>
              <w:kinsoku w:val="0"/>
              <w:wordWrap/>
              <w:overflowPunct/>
              <w:topLinePunct w:val="0"/>
              <w:autoSpaceDE w:val="0"/>
              <w:autoSpaceDN w:val="0"/>
              <w:bidi w:val="0"/>
              <w:adjustRightInd w:val="0"/>
              <w:snapToGrid w:val="0"/>
              <w:jc w:val="center"/>
              <w:textAlignment w:val="baseline"/>
              <w:outlineLvl w:val="9"/>
              <w:rPr>
                <w:rFonts w:eastAsia="宋体"/>
                <w:snapToGrid w:val="0"/>
                <w:color w:val="000000" w:themeColor="text1"/>
                <w:kern w:val="0"/>
                <w:szCs w:val="20"/>
                <w:lang w:eastAsia="en-US"/>
                <w14:textFill>
                  <w14:solidFill>
                    <w14:schemeClr w14:val="tx1"/>
                  </w14:solidFill>
                </w14:textFill>
              </w:rPr>
            </w:pPr>
            <w:bookmarkStart w:id="122" w:name="_Toc192084910"/>
            <w:bookmarkStart w:id="123" w:name="_Toc191543579"/>
            <w:bookmarkStart w:id="124" w:name="_Toc190759003"/>
            <w:bookmarkStart w:id="125" w:name="_Toc26141"/>
            <w:r>
              <w:rPr>
                <w:rFonts w:eastAsia="宋体"/>
                <w:snapToGrid w:val="0"/>
                <w:color w:val="000000" w:themeColor="text1"/>
                <w:spacing w:val="3"/>
                <w:kern w:val="0"/>
                <w:szCs w:val="20"/>
                <w:lang w:eastAsia="en-US"/>
                <w14:textFill>
                  <w14:solidFill>
                    <w14:schemeClr w14:val="tx1"/>
                  </w14:solidFill>
                </w14:textFill>
              </w:rPr>
              <w:t>泄漏</w:t>
            </w:r>
            <w:bookmarkEnd w:id="122"/>
            <w:bookmarkEnd w:id="123"/>
            <w:bookmarkEnd w:id="124"/>
            <w:bookmarkEnd w:id="125"/>
          </w:p>
        </w:tc>
        <w:tc>
          <w:tcPr>
            <w:tcW w:w="694" w:type="dxa"/>
            <w:vAlign w:val="center"/>
          </w:tcPr>
          <w:p w14:paraId="3BC6C425">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w:t>
            </w:r>
          </w:p>
        </w:tc>
        <w:tc>
          <w:tcPr>
            <w:tcW w:w="618" w:type="dxa"/>
            <w:textDirection w:val="tbRlV"/>
            <w:vAlign w:val="center"/>
          </w:tcPr>
          <w:p w14:paraId="057CBD9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原料库房</w:t>
            </w:r>
          </w:p>
        </w:tc>
        <w:tc>
          <w:tcPr>
            <w:tcW w:w="563" w:type="dxa"/>
            <w:textDirection w:val="tbRlV"/>
            <w:vAlign w:val="center"/>
          </w:tcPr>
          <w:p w14:paraId="1A96C07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硫酸铵</w:t>
            </w:r>
          </w:p>
        </w:tc>
        <w:tc>
          <w:tcPr>
            <w:tcW w:w="1088" w:type="dxa"/>
            <w:vAlign w:val="center"/>
          </w:tcPr>
          <w:p w14:paraId="7D20406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大气扩散</w:t>
            </w:r>
          </w:p>
        </w:tc>
        <w:tc>
          <w:tcPr>
            <w:tcW w:w="829" w:type="dxa"/>
            <w:vAlign w:val="center"/>
          </w:tcPr>
          <w:p w14:paraId="39C5F72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w:t>
            </w:r>
          </w:p>
        </w:tc>
        <w:tc>
          <w:tcPr>
            <w:tcW w:w="701" w:type="dxa"/>
            <w:vAlign w:val="center"/>
          </w:tcPr>
          <w:p w14:paraId="294C6695">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9"/>
                <w:kern w:val="0"/>
                <w:szCs w:val="20"/>
                <w:lang w:eastAsia="en-US"/>
                <w14:textFill>
                  <w14:solidFill>
                    <w14:schemeClr w14:val="tx1"/>
                  </w14:solidFill>
                </w14:textFill>
              </w:rPr>
              <w:t>10</w:t>
            </w:r>
          </w:p>
        </w:tc>
        <w:tc>
          <w:tcPr>
            <w:tcW w:w="927" w:type="dxa"/>
            <w:vAlign w:val="center"/>
          </w:tcPr>
          <w:p w14:paraId="71F0D54C">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50</w:t>
            </w:r>
          </w:p>
        </w:tc>
        <w:tc>
          <w:tcPr>
            <w:tcW w:w="814" w:type="dxa"/>
            <w:vAlign w:val="center"/>
          </w:tcPr>
          <w:p w14:paraId="6BB0F778">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w:t>
            </w:r>
          </w:p>
        </w:tc>
        <w:tc>
          <w:tcPr>
            <w:tcW w:w="794" w:type="dxa"/>
            <w:vAlign w:val="center"/>
          </w:tcPr>
          <w:p w14:paraId="7B600AE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0.0143</w:t>
            </w:r>
          </w:p>
        </w:tc>
        <w:tc>
          <w:tcPr>
            <w:tcW w:w="798" w:type="dxa"/>
            <w:vAlign w:val="center"/>
          </w:tcPr>
          <w:p w14:paraId="730B7858">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0.0404</w:t>
            </w:r>
          </w:p>
        </w:tc>
      </w:tr>
    </w:tbl>
    <w:p w14:paraId="2538A3A4">
      <w:pPr>
        <w:pStyle w:val="184"/>
        <w:rPr>
          <w:rFonts w:hint="default" w:cs="Times New Roman"/>
          <w:color w:val="000000" w:themeColor="text1"/>
          <w:lang w:eastAsia="en-US"/>
          <w14:textFill>
            <w14:solidFill>
              <w14:schemeClr w14:val="tx1"/>
            </w14:solidFill>
          </w14:textFill>
        </w:rPr>
      </w:pPr>
      <w:bookmarkStart w:id="126" w:name="_Toc23731"/>
      <w:bookmarkStart w:id="127" w:name="_Toc190759004"/>
      <w:bookmarkStart w:id="128" w:name="_Toc191543580"/>
      <w:bookmarkStart w:id="129" w:name="_Toc192084911"/>
      <w:bookmarkStart w:id="130" w:name="_Toc9600"/>
      <w:r>
        <w:rPr>
          <w:rFonts w:hint="default" w:cs="Times New Roman"/>
          <w:color w:val="000000" w:themeColor="text1"/>
          <w:lang w:eastAsia="en-US"/>
          <w14:textFill>
            <w14:solidFill>
              <w14:schemeClr w14:val="tx1"/>
            </w14:solidFill>
          </w14:textFill>
        </w:rPr>
        <w:t>9</w:t>
      </w:r>
      <w:bookmarkStart w:id="131" w:name="_Hlk186566477"/>
      <w:r>
        <w:rPr>
          <w:rFonts w:hint="default" w:cs="Times New Roman"/>
          <w:color w:val="000000" w:themeColor="text1"/>
          <w:lang w:eastAsia="en-US"/>
          <w14:textFill>
            <w14:solidFill>
              <w14:schemeClr w14:val="tx1"/>
            </w14:solidFill>
          </w14:textFill>
        </w:rPr>
        <w:t>.风险预测与评价</w:t>
      </w:r>
      <w:bookmarkEnd w:id="126"/>
      <w:bookmarkEnd w:id="127"/>
      <w:bookmarkEnd w:id="128"/>
      <w:bookmarkEnd w:id="129"/>
      <w:bookmarkEnd w:id="130"/>
    </w:p>
    <w:p w14:paraId="49A4A931">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9.1有毒有害物质在大气中的扩散</w:t>
      </w:r>
    </w:p>
    <w:p w14:paraId="5B104F06">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本项目环境风险物质主要为硫酸铵，硫酸铵为固体</w:t>
      </w:r>
      <w:r>
        <w:rPr>
          <w:rFonts w:cs="Times New Roman"/>
          <w:color w:val="000000" w:themeColor="text1"/>
          <w:spacing w:val="-2"/>
          <w:kern w:val="0"/>
          <w:szCs w:val="24"/>
          <w14:textFill>
            <w14:solidFill>
              <w14:schemeClr w14:val="tx1"/>
            </w14:solidFill>
          </w14:textFill>
        </w:rPr>
        <w:t>，本身不燃，但当厂区内发生</w:t>
      </w:r>
      <w:r>
        <w:rPr>
          <w:rFonts w:cs="Times New Roman"/>
          <w:color w:val="000000" w:themeColor="text1"/>
          <w:spacing w:val="-5"/>
          <w:kern w:val="0"/>
          <w:szCs w:val="24"/>
          <w14:textFill>
            <w14:solidFill>
              <w14:schemeClr w14:val="tx1"/>
            </w14:solidFill>
          </w14:textFill>
        </w:rPr>
        <w:t>火灾时，在原料库房内存储的硫酸铵受热分</w:t>
      </w:r>
      <w:r>
        <w:rPr>
          <w:rFonts w:cs="Times New Roman"/>
          <w:color w:val="000000" w:themeColor="text1"/>
          <w:spacing w:val="-6"/>
          <w:kern w:val="0"/>
          <w:szCs w:val="24"/>
          <w14:textFill>
            <w14:solidFill>
              <w14:schemeClr w14:val="tx1"/>
            </w14:solidFill>
          </w14:textFill>
        </w:rPr>
        <w:t>解产生氨气、以及氨气燃烧导致大气污染。</w:t>
      </w:r>
    </w:p>
    <w:p w14:paraId="78FF463C">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9.1.1预测模型筛选</w:t>
      </w:r>
    </w:p>
    <w:p w14:paraId="742D7B13">
      <w:pPr>
        <w:pStyle w:val="186"/>
        <w:ind w:firstLine="468"/>
        <w:rPr>
          <w:rFonts w:cs="Times New Roman"/>
          <w:color w:val="000000" w:themeColor="text1"/>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判定烟团/烟羽是否为重质气体，采用理查德森数（Ri）作为标准进行判断。根据</w:t>
      </w:r>
      <w:r>
        <w:rPr>
          <w:rFonts w:cs="Times New Roman"/>
          <w:color w:val="000000" w:themeColor="text1"/>
          <w:spacing w:val="-1"/>
          <w:kern w:val="0"/>
          <w:szCs w:val="24"/>
          <w14:textFill>
            <w14:solidFill>
              <w14:schemeClr w14:val="tx1"/>
            </w14:solidFill>
          </w14:textFill>
        </w:rPr>
        <w:t>不同的排放性质，理查德森数的计算公式不同。一般</w:t>
      </w:r>
      <w:r>
        <w:rPr>
          <w:rFonts w:cs="Times New Roman"/>
          <w:color w:val="000000" w:themeColor="text1"/>
          <w:spacing w:val="-2"/>
          <w:kern w:val="0"/>
          <w:szCs w:val="24"/>
          <w14:textFill>
            <w14:solidFill>
              <w14:schemeClr w14:val="tx1"/>
            </w14:solidFill>
          </w14:textFill>
        </w:rPr>
        <w:t>地，依据排放类型，理查德森数</w:t>
      </w:r>
      <w:r>
        <w:rPr>
          <w:rFonts w:cs="Times New Roman"/>
          <w:color w:val="000000" w:themeColor="text1"/>
          <w:spacing w:val="-1"/>
          <w:kern w:val="0"/>
          <w:szCs w:val="24"/>
          <w14:textFill>
            <w14:solidFill>
              <w14:schemeClr w14:val="tx1"/>
            </w14:solidFill>
          </w14:textFill>
        </w:rPr>
        <w:t>的计算分连续排放、瞬时排放两种形式。</w:t>
      </w:r>
    </w:p>
    <w:p w14:paraId="3BE70CF0">
      <w:pPr>
        <w:pStyle w:val="186"/>
        <w:ind w:firstLine="468"/>
        <w:rPr>
          <w:rFonts w:cs="Times New Roman"/>
          <w:color w:val="000000" w:themeColor="text1"/>
          <w:kern w:val="0"/>
          <w:szCs w:val="24"/>
          <w:lang w:eastAsia="en-US"/>
          <w14:textFill>
            <w14:solidFill>
              <w14:schemeClr w14:val="tx1"/>
            </w14:solidFill>
          </w14:textFill>
        </w:rPr>
      </w:pPr>
      <w:r>
        <w:rPr>
          <w:rFonts w:cs="Times New Roman"/>
          <w:color w:val="000000" w:themeColor="text1"/>
          <w:spacing w:val="-3"/>
          <w:kern w:val="0"/>
          <w:szCs w:val="24"/>
          <w:lang w:eastAsia="en-US"/>
          <w14:textFill>
            <w14:solidFill>
              <w14:schemeClr w14:val="tx1"/>
            </w14:solidFill>
          </w14:textFill>
        </w:rPr>
        <w:t>连续排放：</w:t>
      </w:r>
    </w:p>
    <w:p w14:paraId="43449BCA">
      <w:pPr>
        <w:kinsoku w:val="0"/>
        <w:autoSpaceDE w:val="0"/>
        <w:autoSpaceDN w:val="0"/>
        <w:adjustRightInd w:val="0"/>
        <w:snapToGrid w:val="0"/>
        <w:spacing w:line="245" w:lineRule="auto"/>
        <w:jc w:val="center"/>
        <w:textAlignment w:val="baseline"/>
        <w:rPr>
          <w:rFonts w:eastAsia="宋体"/>
          <w:snapToGrid w:val="0"/>
          <w:color w:val="000000" w:themeColor="text1"/>
          <w:kern w:val="0"/>
          <w:szCs w:val="21"/>
          <w:lang w:eastAsia="en-US"/>
          <w14:textFill>
            <w14:solidFill>
              <w14:schemeClr w14:val="tx1"/>
            </w14:solidFill>
          </w14:textFill>
        </w:rPr>
      </w:pPr>
      <w:r>
        <w:rPr>
          <w:rFonts w:eastAsia="宋体"/>
          <w:snapToGrid w:val="0"/>
          <w:color w:val="000000" w:themeColor="text1"/>
          <w:kern w:val="0"/>
          <w:position w:val="-24"/>
          <w:szCs w:val="21"/>
          <w:lang w:eastAsia="en-US"/>
          <w14:textFill>
            <w14:solidFill>
              <w14:schemeClr w14:val="tx1"/>
            </w14:solidFill>
          </w14:textFill>
        </w:rPr>
        <w:object>
          <v:shape id="_x0000_i1032" o:spt="75" type="#_x0000_t75" style="height:56.95pt;width:171.65pt;" o:ole="t" filled="f" o:preferrelative="t" stroked="f" coordsize="21600,21600">
            <v:path/>
            <v:fill on="f" focussize="0,0"/>
            <v:stroke on="f" joinstyle="miter"/>
            <v:imagedata r:id="rId75" o:title=""/>
            <o:lock v:ext="edit" aspectratio="t"/>
            <w10:wrap type="none"/>
            <w10:anchorlock/>
          </v:shape>
          <o:OLEObject Type="Embed" ProgID="Equation.3" ShapeID="_x0000_i1032" DrawAspect="Content" ObjectID="_1468075732" r:id="rId74">
            <o:LockedField>false</o:LockedField>
          </o:OLEObject>
        </w:object>
      </w:r>
    </w:p>
    <w:p w14:paraId="18A2C530">
      <w:pPr>
        <w:pStyle w:val="186"/>
        <w:ind w:firstLine="464"/>
        <w:rPr>
          <w:rFonts w:cs="Times New Roman"/>
          <w:color w:val="000000" w:themeColor="text1"/>
          <w:kern w:val="0"/>
          <w:szCs w:val="24"/>
          <w:lang w:eastAsia="en-US"/>
          <w14:textFill>
            <w14:solidFill>
              <w14:schemeClr w14:val="tx1"/>
            </w14:solidFill>
          </w14:textFill>
        </w:rPr>
      </w:pPr>
      <w:r>
        <w:rPr>
          <w:rFonts w:cs="Times New Roman"/>
          <w:color w:val="000000" w:themeColor="text1"/>
          <w:spacing w:val="-4"/>
          <w:kern w:val="0"/>
          <w:szCs w:val="24"/>
          <w:lang w:eastAsia="en-US"/>
          <w14:textFill>
            <w14:solidFill>
              <w14:schemeClr w14:val="tx1"/>
            </w14:solidFill>
          </w14:textFill>
        </w:rPr>
        <w:t>瞬时排放：</w:t>
      </w:r>
    </w:p>
    <w:p w14:paraId="095519C0">
      <w:pPr>
        <w:kinsoku w:val="0"/>
        <w:autoSpaceDE w:val="0"/>
        <w:autoSpaceDN w:val="0"/>
        <w:adjustRightInd w:val="0"/>
        <w:snapToGrid w:val="0"/>
        <w:spacing w:line="245" w:lineRule="auto"/>
        <w:jc w:val="center"/>
        <w:textAlignment w:val="baseline"/>
        <w:rPr>
          <w:rFonts w:eastAsia="宋体"/>
          <w:snapToGrid w:val="0"/>
          <w:color w:val="000000" w:themeColor="text1"/>
          <w:kern w:val="0"/>
          <w:sz w:val="24"/>
          <w:lang w:eastAsia="en-US"/>
          <w14:textFill>
            <w14:solidFill>
              <w14:schemeClr w14:val="tx1"/>
            </w14:solidFill>
          </w14:textFill>
        </w:rPr>
      </w:pPr>
      <w:r>
        <w:rPr>
          <w:rFonts w:eastAsia="宋体"/>
          <w:snapToGrid w:val="0"/>
          <w:color w:val="000000" w:themeColor="text1"/>
          <w:spacing w:val="-1"/>
          <w:kern w:val="0"/>
          <w:position w:val="-32"/>
          <w:sz w:val="24"/>
          <w:lang w:eastAsia="en-US"/>
          <w14:textFill>
            <w14:solidFill>
              <w14:schemeClr w14:val="tx1"/>
            </w14:solidFill>
          </w14:textFill>
        </w:rPr>
        <w:object>
          <v:shape id="_x0000_i1033" o:spt="75" type="#_x0000_t75" style="height:46.05pt;width:144pt;" o:ole="t" filled="f" o:preferrelative="t" stroked="f" coordsize="21600,21600">
            <v:path/>
            <v:fill on="f" focussize="0,0"/>
            <v:stroke on="f" joinstyle="miter"/>
            <v:imagedata r:id="rId77" o:title=""/>
            <o:lock v:ext="edit" aspectratio="t"/>
            <w10:wrap type="none"/>
            <w10:anchorlock/>
          </v:shape>
          <o:OLEObject Type="Embed" ProgID="Equation.3" ShapeID="_x0000_i1033" DrawAspect="Content" ObjectID="_1468075733" r:id="rId76">
            <o:LockedField>false</o:LockedField>
          </o:OLEObject>
        </w:object>
      </w:r>
    </w:p>
    <w:p w14:paraId="153EE537">
      <w:pPr>
        <w:pStyle w:val="186"/>
        <w:ind w:firstLine="468"/>
        <w:rPr>
          <w:rFonts w:cs="Times New Roman"/>
          <w:color w:val="000000" w:themeColor="text1"/>
          <w:spacing w:val="-3"/>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式中：</w:t>
      </w:r>
    </w:p>
    <w:p w14:paraId="6FBCA863">
      <w:pPr>
        <w:pStyle w:val="186"/>
        <w:ind w:firstLine="468"/>
        <w:rPr>
          <w:rFonts w:cs="Times New Roman"/>
          <w:color w:val="000000" w:themeColor="text1"/>
          <w:spacing w:val="-3"/>
          <w:kern w:val="0"/>
          <w:szCs w:val="24"/>
          <w14:textFill>
            <w14:solidFill>
              <w14:schemeClr w14:val="tx1"/>
            </w14:solidFill>
          </w14:textFill>
        </w:rPr>
      </w:pPr>
      <w:r>
        <w:rPr>
          <w:rFonts w:cs="Times New Roman"/>
          <w:color w:val="000000" w:themeColor="text1"/>
          <w:spacing w:val="-3"/>
          <w:kern w:val="0"/>
          <w:szCs w:val="24"/>
          <w:lang w:eastAsia="en-US"/>
          <w14:textFill>
            <w14:solidFill>
              <w14:schemeClr w14:val="tx1"/>
            </w14:solidFill>
          </w14:textFill>
        </w:rPr>
        <w:t>ρ</w:t>
      </w:r>
      <w:r>
        <w:rPr>
          <w:rFonts w:cs="Times New Roman"/>
          <w:color w:val="000000" w:themeColor="text1"/>
          <w:spacing w:val="-3"/>
          <w:kern w:val="0"/>
          <w:szCs w:val="24"/>
          <w14:textFill>
            <w14:solidFill>
              <w14:schemeClr w14:val="tx1"/>
            </w14:solidFill>
          </w14:textFill>
        </w:rPr>
        <w:t>rel—排放物质进入大气的初始密度，kg/m</w:t>
      </w:r>
      <w:r>
        <w:rPr>
          <w:rFonts w:cs="Times New Roman"/>
          <w:color w:val="000000" w:themeColor="text1"/>
          <w:spacing w:val="-3"/>
          <w:kern w:val="0"/>
          <w:position w:val="8"/>
          <w:sz w:val="15"/>
          <w:szCs w:val="15"/>
          <w14:textFill>
            <w14:solidFill>
              <w14:schemeClr w14:val="tx1"/>
            </w14:solidFill>
          </w14:textFill>
        </w:rPr>
        <w:t>3</w:t>
      </w:r>
      <w:r>
        <w:rPr>
          <w:rFonts w:cs="Times New Roman"/>
          <w:color w:val="000000" w:themeColor="text1"/>
          <w:spacing w:val="-3"/>
          <w:kern w:val="0"/>
          <w:szCs w:val="24"/>
          <w14:textFill>
            <w14:solidFill>
              <w14:schemeClr w14:val="tx1"/>
            </w14:solidFill>
          </w14:textFill>
        </w:rPr>
        <w:t>；</w:t>
      </w:r>
    </w:p>
    <w:p w14:paraId="285921B2">
      <w:pPr>
        <w:pStyle w:val="186"/>
        <w:ind w:firstLine="436"/>
        <w:rPr>
          <w:rFonts w:cs="Times New Roman"/>
          <w:color w:val="000000" w:themeColor="text1"/>
          <w:spacing w:val="-11"/>
          <w:kern w:val="0"/>
          <w:szCs w:val="24"/>
          <w14:textFill>
            <w14:solidFill>
              <w14:schemeClr w14:val="tx1"/>
            </w14:solidFill>
          </w14:textFill>
        </w:rPr>
      </w:pPr>
      <w:r>
        <w:rPr>
          <w:rFonts w:cs="Times New Roman"/>
          <w:color w:val="000000" w:themeColor="text1"/>
          <w:spacing w:val="-11"/>
          <w:kern w:val="0"/>
          <w:szCs w:val="24"/>
          <w:lang w:eastAsia="en-US"/>
          <w14:textFill>
            <w14:solidFill>
              <w14:schemeClr w14:val="tx1"/>
            </w14:solidFill>
          </w14:textFill>
        </w:rPr>
        <w:t>ρ</w:t>
      </w:r>
      <w:r>
        <w:rPr>
          <w:rFonts w:cs="Times New Roman"/>
          <w:color w:val="000000" w:themeColor="text1"/>
          <w:kern w:val="0"/>
          <w:sz w:val="15"/>
          <w:szCs w:val="15"/>
          <w14:textFill>
            <w14:solidFill>
              <w14:schemeClr w14:val="tx1"/>
            </w14:solidFill>
          </w14:textFill>
        </w:rPr>
        <w:t>a</w:t>
      </w:r>
      <w:r>
        <w:rPr>
          <w:rFonts w:cs="Times New Roman"/>
          <w:color w:val="000000" w:themeColor="text1"/>
          <w:kern w:val="0"/>
          <w:szCs w:val="24"/>
          <w14:textFill>
            <w14:solidFill>
              <w14:schemeClr w14:val="tx1"/>
            </w14:solidFill>
          </w14:textFill>
        </w:rPr>
        <w:t>—环境空气密度，kg/m</w:t>
      </w:r>
      <w:r>
        <w:rPr>
          <w:rFonts w:cs="Times New Roman"/>
          <w:color w:val="000000" w:themeColor="text1"/>
          <w:kern w:val="0"/>
          <w:position w:val="7"/>
          <w:sz w:val="15"/>
          <w:szCs w:val="15"/>
          <w14:textFill>
            <w14:solidFill>
              <w14:schemeClr w14:val="tx1"/>
            </w14:solidFill>
          </w14:textFill>
        </w:rPr>
        <w:t>3</w:t>
      </w:r>
      <w:r>
        <w:rPr>
          <w:rFonts w:cs="Times New Roman"/>
          <w:color w:val="000000" w:themeColor="text1"/>
          <w:kern w:val="0"/>
          <w:szCs w:val="24"/>
          <w14:textFill>
            <w14:solidFill>
              <w14:schemeClr w14:val="tx1"/>
            </w14:solidFill>
          </w14:textFill>
        </w:rPr>
        <w:t>；</w:t>
      </w:r>
    </w:p>
    <w:p w14:paraId="29EF53F1">
      <w:pPr>
        <w:pStyle w:val="186"/>
        <w:ind w:firstLine="464"/>
        <w:rPr>
          <w:rFonts w:cs="Times New Roman"/>
          <w:color w:val="000000" w:themeColor="text1"/>
          <w:spacing w:val="-4"/>
          <w:kern w:val="0"/>
          <w:szCs w:val="24"/>
          <w14:textFill>
            <w14:solidFill>
              <w14:schemeClr w14:val="tx1"/>
            </w14:solidFill>
          </w14:textFill>
        </w:rPr>
      </w:pPr>
      <w:r>
        <w:rPr>
          <w:rFonts w:cs="Times New Roman"/>
          <w:color w:val="000000" w:themeColor="text1"/>
          <w:spacing w:val="-4"/>
          <w:kern w:val="0"/>
          <w:szCs w:val="24"/>
          <w14:textFill>
            <w14:solidFill>
              <w14:schemeClr w14:val="tx1"/>
            </w14:solidFill>
          </w14:textFill>
        </w:rPr>
        <w:t>Q—连续排放烟羽的排放速率，kg/s；</w:t>
      </w:r>
    </w:p>
    <w:p w14:paraId="6EF9DDA6">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Qt—瞬时排放的物质质量，kg；</w:t>
      </w:r>
    </w:p>
    <w:p w14:paraId="7CA213F3">
      <w:pPr>
        <w:pStyle w:val="186"/>
        <w:ind w:firstLine="464"/>
        <w:rPr>
          <w:rFonts w:cs="Times New Roman"/>
          <w:color w:val="000000" w:themeColor="text1"/>
          <w:spacing w:val="-4"/>
          <w:kern w:val="0"/>
          <w:szCs w:val="24"/>
          <w14:textFill>
            <w14:solidFill>
              <w14:schemeClr w14:val="tx1"/>
            </w14:solidFill>
          </w14:textFill>
        </w:rPr>
      </w:pPr>
      <w:r>
        <w:rPr>
          <w:rFonts w:cs="Times New Roman"/>
          <w:color w:val="000000" w:themeColor="text1"/>
          <w:spacing w:val="-4"/>
          <w:kern w:val="0"/>
          <w:szCs w:val="24"/>
          <w14:textFill>
            <w14:solidFill>
              <w14:schemeClr w14:val="tx1"/>
            </w14:solidFill>
          </w14:textFill>
        </w:rPr>
        <w:t>Drel—初始的烟团宽度，即源直径，m；</w:t>
      </w:r>
    </w:p>
    <w:p w14:paraId="4A4BBB34">
      <w:pPr>
        <w:pStyle w:val="186"/>
        <w:ind w:firstLine="472"/>
        <w:rPr>
          <w:rFonts w:cs="Times New Roman"/>
          <w:color w:val="000000" w:themeColor="text1"/>
          <w:spacing w:val="-4"/>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Ur—10m高处风速，m/s。</w:t>
      </w:r>
    </w:p>
    <w:p w14:paraId="0E3AE869">
      <w:pPr>
        <w:pStyle w:val="186"/>
        <w:ind w:firstLine="492"/>
        <w:rPr>
          <w:rFonts w:cs="Times New Roman"/>
          <w:color w:val="000000" w:themeColor="text1"/>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判定连续排放还是瞬时排放，可以通过对比排放时间</w:t>
      </w:r>
      <w:r>
        <w:rPr>
          <w:rFonts w:cs="Times New Roman"/>
          <w:color w:val="000000" w:themeColor="text1"/>
          <w:kern w:val="0"/>
          <w:szCs w:val="24"/>
          <w14:textFill>
            <w14:solidFill>
              <w14:schemeClr w14:val="tx1"/>
            </w14:solidFill>
          </w14:textFill>
        </w:rPr>
        <w:t>Td</w:t>
      </w:r>
      <w:r>
        <w:rPr>
          <w:rFonts w:cs="Times New Roman"/>
          <w:color w:val="000000" w:themeColor="text1"/>
          <w:spacing w:val="3"/>
          <w:kern w:val="0"/>
          <w:szCs w:val="24"/>
          <w14:textFill>
            <w14:solidFill>
              <w14:schemeClr w14:val="tx1"/>
            </w14:solidFill>
          </w14:textFill>
        </w:rPr>
        <w:t>和污染物到达最近的受</w:t>
      </w:r>
      <w:r>
        <w:rPr>
          <w:rFonts w:cs="Times New Roman"/>
          <w:color w:val="000000" w:themeColor="text1"/>
          <w:spacing w:val="2"/>
          <w:kern w:val="0"/>
          <w:szCs w:val="24"/>
          <w14:textFill>
            <w14:solidFill>
              <w14:schemeClr w14:val="tx1"/>
            </w14:solidFill>
          </w14:textFill>
        </w:rPr>
        <w:t>体点（网格点或敏感点）的时间T确定。</w:t>
      </w:r>
    </w:p>
    <w:p w14:paraId="71B85DD3">
      <w:pPr>
        <w:kinsoku w:val="0"/>
        <w:autoSpaceDE w:val="0"/>
        <w:autoSpaceDN w:val="0"/>
        <w:adjustRightInd w:val="0"/>
        <w:snapToGrid w:val="0"/>
        <w:spacing w:line="245" w:lineRule="auto"/>
        <w:jc w:val="center"/>
        <w:textAlignment w:val="baseline"/>
        <w:rPr>
          <w:rFonts w:eastAsia="宋体"/>
          <w:snapToGrid w:val="0"/>
          <w:color w:val="000000" w:themeColor="text1"/>
          <w:spacing w:val="-2"/>
          <w:kern w:val="0"/>
          <w:sz w:val="24"/>
          <w:lang w:eastAsia="en-US"/>
          <w14:textFill>
            <w14:solidFill>
              <w14:schemeClr w14:val="tx1"/>
            </w14:solidFill>
          </w14:textFill>
        </w:rPr>
      </w:pPr>
      <w:r>
        <w:rPr>
          <w:rFonts w:eastAsia="宋体"/>
          <w:snapToGrid w:val="0"/>
          <w:color w:val="000000" w:themeColor="text1"/>
          <w:spacing w:val="-2"/>
          <w:kern w:val="0"/>
          <w:position w:val="-10"/>
          <w:sz w:val="24"/>
          <w:lang w:eastAsia="en-US"/>
          <w14:textFill>
            <w14:solidFill>
              <w14:schemeClr w14:val="tx1"/>
            </w14:solidFill>
          </w14:textFill>
        </w:rPr>
        <w:object>
          <v:shape id="_x0000_i1034" o:spt="75" type="#_x0000_t75" style="height:17.6pt;width:61.1pt;" o:ole="t" filled="f" o:preferrelative="t" stroked="f" coordsize="21600,21600">
            <v:path/>
            <v:fill on="f" focussize="0,0"/>
            <v:stroke on="f" joinstyle="miter"/>
            <v:imagedata r:id="rId79" o:title=""/>
            <o:lock v:ext="edit" aspectratio="t"/>
            <w10:wrap type="none"/>
            <w10:anchorlock/>
          </v:shape>
          <o:OLEObject Type="Embed" ProgID="Equation.3" ShapeID="_x0000_i1034" DrawAspect="Content" ObjectID="_1468075734" r:id="rId78">
            <o:LockedField>false</o:LockedField>
          </o:OLEObject>
        </w:object>
      </w:r>
    </w:p>
    <w:p w14:paraId="074A02D8">
      <w:pPr>
        <w:pStyle w:val="186"/>
        <w:ind w:firstLine="464"/>
        <w:rPr>
          <w:rFonts w:cs="Times New Roman"/>
          <w:color w:val="000000" w:themeColor="text1"/>
          <w:spacing w:val="-4"/>
          <w:kern w:val="0"/>
          <w:szCs w:val="24"/>
          <w14:textFill>
            <w14:solidFill>
              <w14:schemeClr w14:val="tx1"/>
            </w14:solidFill>
          </w14:textFill>
        </w:rPr>
      </w:pPr>
      <w:r>
        <w:rPr>
          <w:rFonts w:cs="Times New Roman"/>
          <w:color w:val="000000" w:themeColor="text1"/>
          <w:spacing w:val="-4"/>
          <w:kern w:val="0"/>
          <w:szCs w:val="24"/>
          <w14:textFill>
            <w14:solidFill>
              <w14:schemeClr w14:val="tx1"/>
            </w14:solidFill>
          </w14:textFill>
        </w:rPr>
        <w:t>式中：</w:t>
      </w:r>
    </w:p>
    <w:p w14:paraId="3586B784">
      <w:pPr>
        <w:pStyle w:val="186"/>
        <w:ind w:firstLine="464"/>
        <w:rPr>
          <w:rFonts w:cs="Times New Roman"/>
          <w:color w:val="000000" w:themeColor="text1"/>
          <w:kern w:val="0"/>
          <w:szCs w:val="24"/>
          <w14:textFill>
            <w14:solidFill>
              <w14:schemeClr w14:val="tx1"/>
            </w14:solidFill>
          </w14:textFill>
        </w:rPr>
      </w:pPr>
      <w:r>
        <w:rPr>
          <w:rFonts w:cs="Times New Roman"/>
          <w:color w:val="000000" w:themeColor="text1"/>
          <w:spacing w:val="-4"/>
          <w:kern w:val="0"/>
          <w:szCs w:val="24"/>
          <w14:textFill>
            <w14:solidFill>
              <w14:schemeClr w14:val="tx1"/>
            </w14:solidFill>
          </w14:textFill>
        </w:rPr>
        <w:t>X—事故发生地与计算点的距离，m；</w:t>
      </w:r>
    </w:p>
    <w:p w14:paraId="19411DCF">
      <w:pPr>
        <w:pStyle w:val="186"/>
        <w:ind w:firstLine="472"/>
        <w:rPr>
          <w:rFonts w:cs="Times New Roman"/>
          <w:color w:val="000000" w:themeColor="text1"/>
          <w:spacing w:val="-2"/>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Ur—10m高处风速，m/s。</w:t>
      </w:r>
    </w:p>
    <w:p w14:paraId="2E8B461D">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当Td＞T时，可被认为是连续排放的；当Td≤T</w:t>
      </w:r>
      <w:r>
        <w:rPr>
          <w:rFonts w:cs="Times New Roman"/>
          <w:color w:val="000000" w:themeColor="text1"/>
          <w:spacing w:val="-3"/>
          <w:kern w:val="0"/>
          <w:szCs w:val="24"/>
          <w14:textFill>
            <w14:solidFill>
              <w14:schemeClr w14:val="tx1"/>
            </w14:solidFill>
          </w14:textFill>
        </w:rPr>
        <w:t>时，可被认为是瞬时排放。</w:t>
      </w:r>
    </w:p>
    <w:p w14:paraId="74919AD3">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对于连续排放，</w:t>
      </w:r>
      <w:r>
        <w:rPr>
          <w:rFonts w:cs="Times New Roman"/>
          <w:color w:val="000000" w:themeColor="text1"/>
          <w:kern w:val="0"/>
          <w:szCs w:val="24"/>
          <w14:textFill>
            <w14:solidFill>
              <w14:schemeClr w14:val="tx1"/>
            </w14:solidFill>
          </w14:textFill>
        </w:rPr>
        <w:t>Ri</w:t>
      </w:r>
      <w:r>
        <w:rPr>
          <w:rFonts w:cs="Times New Roman"/>
          <w:color w:val="000000" w:themeColor="text1"/>
          <w:spacing w:val="2"/>
          <w:kern w:val="0"/>
          <w:szCs w:val="24"/>
          <w14:textFill>
            <w14:solidFill>
              <w14:schemeClr w14:val="tx1"/>
            </w14:solidFill>
          </w14:textFill>
        </w:rPr>
        <w:t>≥1/6为重质气体，</w:t>
      </w:r>
      <w:r>
        <w:rPr>
          <w:rFonts w:cs="Times New Roman"/>
          <w:color w:val="000000" w:themeColor="text1"/>
          <w:kern w:val="0"/>
          <w:szCs w:val="24"/>
          <w14:textFill>
            <w14:solidFill>
              <w14:schemeClr w14:val="tx1"/>
            </w14:solidFill>
          </w14:textFill>
        </w:rPr>
        <w:t>Ri</w:t>
      </w:r>
      <w:r>
        <w:rPr>
          <w:rFonts w:cs="Times New Roman"/>
          <w:color w:val="000000" w:themeColor="text1"/>
          <w:spacing w:val="2"/>
          <w:kern w:val="0"/>
          <w:szCs w:val="24"/>
          <w14:textFill>
            <w14:solidFill>
              <w14:schemeClr w14:val="tx1"/>
            </w14:solidFill>
          </w14:textFill>
        </w:rPr>
        <w:t>＜1/6</w:t>
      </w:r>
      <w:r>
        <w:rPr>
          <w:rFonts w:cs="Times New Roman"/>
          <w:color w:val="000000" w:themeColor="text1"/>
          <w:spacing w:val="1"/>
          <w:kern w:val="0"/>
          <w:szCs w:val="24"/>
          <w14:textFill>
            <w14:solidFill>
              <w14:schemeClr w14:val="tx1"/>
            </w14:solidFill>
          </w14:textFill>
        </w:rPr>
        <w:t>为轻质气体；对于瞬时排放，</w:t>
      </w:r>
      <w:r>
        <w:rPr>
          <w:rFonts w:cs="Times New Roman"/>
          <w:color w:val="000000" w:themeColor="text1"/>
          <w:kern w:val="0"/>
          <w:szCs w:val="24"/>
          <w14:textFill>
            <w14:solidFill>
              <w14:schemeClr w14:val="tx1"/>
            </w14:solidFill>
          </w14:textFill>
        </w:rPr>
        <w:t>Ri</w:t>
      </w:r>
      <w:r>
        <w:rPr>
          <w:rFonts w:cs="Times New Roman"/>
          <w:color w:val="000000" w:themeColor="text1"/>
          <w:spacing w:val="1"/>
          <w:kern w:val="0"/>
          <w:szCs w:val="24"/>
          <w14:textFill>
            <w14:solidFill>
              <w14:schemeClr w14:val="tx1"/>
            </w14:solidFill>
          </w14:textFill>
        </w:rPr>
        <w:t>＞</w:t>
      </w:r>
      <w:r>
        <w:rPr>
          <w:rFonts w:cs="Times New Roman"/>
          <w:color w:val="000000" w:themeColor="text1"/>
          <w:spacing w:val="-1"/>
          <w:kern w:val="0"/>
          <w:szCs w:val="24"/>
          <w14:textFill>
            <w14:solidFill>
              <w14:schemeClr w14:val="tx1"/>
            </w14:solidFill>
          </w14:textFill>
        </w:rPr>
        <w:t>0.04为重质气体，Ri≤0.04为轻质气体。</w:t>
      </w:r>
    </w:p>
    <w:p w14:paraId="72F2033A">
      <w:pPr>
        <w:spacing w:line="347" w:lineRule="auto"/>
        <w:rPr>
          <w:rFonts w:eastAsia="宋体"/>
          <w:color w:val="000000" w:themeColor="text1"/>
          <w:sz w:val="24"/>
          <w14:textFill>
            <w14:solidFill>
              <w14:schemeClr w14:val="tx1"/>
            </w14:solidFill>
          </w14:textFill>
        </w:rPr>
        <w:sectPr>
          <w:footerReference r:id="rId15" w:type="default"/>
          <w:pgSz w:w="11906" w:h="16839"/>
          <w:pgMar w:top="1431" w:right="1450" w:bottom="958" w:left="1539" w:header="0" w:footer="694" w:gutter="0"/>
          <w:cols w:space="720" w:num="1"/>
        </w:sectPr>
      </w:pPr>
    </w:p>
    <w:p w14:paraId="75E477E1">
      <w:pPr>
        <w:pStyle w:val="186"/>
        <w:ind w:firstLine="480"/>
        <w:rPr>
          <w:rFonts w:cs="Times New Roman"/>
          <w:color w:val="000000" w:themeColor="text1"/>
          <w:kern w:val="0"/>
          <w:szCs w:val="24"/>
          <w14:textFill>
            <w14:solidFill>
              <w14:schemeClr w14:val="tx1"/>
            </w14:solidFill>
          </w14:textFill>
        </w:rPr>
      </w:pPr>
      <w:r>
        <w:rPr>
          <w:rFonts w:cs="Times New Roman"/>
          <w:color w:val="000000" w:themeColor="text1"/>
          <w:kern w:val="0"/>
          <w:szCs w:val="24"/>
          <w14:textFill>
            <w14:solidFill>
              <w14:schemeClr w14:val="tx1"/>
            </w14:solidFill>
          </w14:textFill>
        </w:rPr>
        <w:t>当Ri处于临界值附近时，说明烟团/烟羽既不是典型的重质气体扩散，也不是典</w:t>
      </w:r>
      <w:r>
        <w:rPr>
          <w:rFonts w:cs="Times New Roman"/>
          <w:color w:val="000000" w:themeColor="text1"/>
          <w:spacing w:val="-1"/>
          <w:kern w:val="0"/>
          <w:szCs w:val="24"/>
          <w14:textFill>
            <w14:solidFill>
              <w14:schemeClr w14:val="tx1"/>
            </w14:solidFill>
          </w14:textFill>
        </w:rPr>
        <w:t>型的轻质气体扩散。可以进行敏感性分析，分别采用</w:t>
      </w:r>
      <w:r>
        <w:rPr>
          <w:rFonts w:cs="Times New Roman"/>
          <w:color w:val="000000" w:themeColor="text1"/>
          <w:spacing w:val="-2"/>
          <w:kern w:val="0"/>
          <w:szCs w:val="24"/>
          <w14:textFill>
            <w14:solidFill>
              <w14:schemeClr w14:val="tx1"/>
            </w14:solidFill>
          </w14:textFill>
        </w:rPr>
        <w:t>重质气体模型和轻质气体模型进</w:t>
      </w:r>
      <w:r>
        <w:rPr>
          <w:rFonts w:cs="Times New Roman"/>
          <w:color w:val="000000" w:themeColor="text1"/>
          <w:spacing w:val="-1"/>
          <w:kern w:val="0"/>
          <w:szCs w:val="24"/>
          <w14:textFill>
            <w14:solidFill>
              <w14:schemeClr w14:val="tx1"/>
            </w14:solidFill>
          </w14:textFill>
        </w:rPr>
        <w:t>行模拟，选取影响范围最大的结果。</w:t>
      </w:r>
    </w:p>
    <w:p w14:paraId="5AE386DE">
      <w:pPr>
        <w:pStyle w:val="186"/>
        <w:ind w:firstLine="484"/>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根据项目平面布置图得知，本项目最近居民点为五四村，距离</w:t>
      </w:r>
      <w:r>
        <w:rPr>
          <w:rFonts w:cs="Times New Roman"/>
          <w:color w:val="000000" w:themeColor="text1"/>
          <w:kern w:val="0"/>
          <w:szCs w:val="24"/>
          <w14:textFill>
            <w14:solidFill>
              <w14:schemeClr w14:val="tx1"/>
            </w14:solidFill>
          </w14:textFill>
        </w:rPr>
        <w:t>为350m，平均风速</w:t>
      </w:r>
      <w:r>
        <w:rPr>
          <w:rFonts w:cs="Times New Roman"/>
          <w:color w:val="000000" w:themeColor="text1"/>
          <w:spacing w:val="-3"/>
          <w:kern w:val="0"/>
          <w:szCs w:val="24"/>
          <w14:textFill>
            <w14:solidFill>
              <w14:schemeClr w14:val="tx1"/>
            </w14:solidFill>
          </w14:textFill>
        </w:rPr>
        <w:t>取</w:t>
      </w:r>
      <w:r>
        <w:rPr>
          <w:rFonts w:hint="eastAsia" w:cs="Times New Roman"/>
          <w:color w:val="000000" w:themeColor="text1"/>
          <w:spacing w:val="-3"/>
          <w:kern w:val="0"/>
          <w:szCs w:val="24"/>
          <w14:textFill>
            <w14:solidFill>
              <w14:schemeClr w14:val="tx1"/>
            </w14:solidFill>
          </w14:textFill>
        </w:rPr>
        <w:t>3.1</w:t>
      </w:r>
      <w:r>
        <w:rPr>
          <w:rFonts w:cs="Times New Roman"/>
          <w:color w:val="000000" w:themeColor="text1"/>
          <w:spacing w:val="-3"/>
          <w:kern w:val="0"/>
          <w:szCs w:val="24"/>
          <w14:textFill>
            <w14:solidFill>
              <w14:schemeClr w14:val="tx1"/>
            </w14:solidFill>
          </w14:textFill>
        </w:rPr>
        <w:t>0m/s。经计算T为</w:t>
      </w:r>
      <w:r>
        <w:rPr>
          <w:rFonts w:hint="eastAsia" w:cs="Times New Roman"/>
          <w:color w:val="000000" w:themeColor="text1"/>
          <w:spacing w:val="-3"/>
          <w:kern w:val="0"/>
          <w:szCs w:val="24"/>
          <w14:textFill>
            <w14:solidFill>
              <w14:schemeClr w14:val="tx1"/>
            </w14:solidFill>
          </w14:textFill>
        </w:rPr>
        <w:t>226</w:t>
      </w:r>
      <w:r>
        <w:rPr>
          <w:rFonts w:cs="Times New Roman"/>
          <w:color w:val="000000" w:themeColor="text1"/>
          <w:spacing w:val="-3"/>
          <w:kern w:val="0"/>
          <w:szCs w:val="24"/>
          <w14:textFill>
            <w14:solidFill>
              <w14:schemeClr w14:val="tx1"/>
            </w14:solidFill>
          </w14:textFill>
        </w:rPr>
        <w:t>s，3.</w:t>
      </w:r>
      <w:r>
        <w:rPr>
          <w:rFonts w:hint="eastAsia" w:cs="Times New Roman"/>
          <w:color w:val="000000" w:themeColor="text1"/>
          <w:spacing w:val="-3"/>
          <w:kern w:val="0"/>
          <w:szCs w:val="24"/>
          <w14:textFill>
            <w14:solidFill>
              <w14:schemeClr w14:val="tx1"/>
            </w14:solidFill>
          </w14:textFill>
        </w:rPr>
        <w:t>77</w:t>
      </w:r>
      <w:r>
        <w:rPr>
          <w:rFonts w:cs="Times New Roman"/>
          <w:color w:val="000000" w:themeColor="text1"/>
          <w:spacing w:val="-3"/>
          <w:kern w:val="0"/>
          <w:szCs w:val="24"/>
          <w14:textFill>
            <w14:solidFill>
              <w14:schemeClr w14:val="tx1"/>
            </w14:solidFill>
          </w14:textFill>
        </w:rPr>
        <w:t>min，小于排放时间（Td）10min，故判定</w:t>
      </w:r>
      <w:r>
        <w:rPr>
          <w:rFonts w:cs="Times New Roman"/>
          <w:color w:val="000000" w:themeColor="text1"/>
          <w:kern w:val="0"/>
          <w:szCs w:val="24"/>
          <w14:textFill>
            <w14:solidFill>
              <w14:schemeClr w14:val="tx1"/>
            </w14:solidFill>
          </w14:textFill>
        </w:rPr>
        <w:t>本项目为连续排放。因此项目按连</w:t>
      </w:r>
      <w:r>
        <w:rPr>
          <w:rFonts w:cs="Times New Roman"/>
          <w:color w:val="000000" w:themeColor="text1"/>
          <w:spacing w:val="-1"/>
          <w:kern w:val="0"/>
          <w:szCs w:val="24"/>
          <w14:textFill>
            <w14:solidFill>
              <w14:schemeClr w14:val="tx1"/>
            </w14:solidFill>
          </w14:textFill>
        </w:rPr>
        <w:t>续排放公式进行试算。</w:t>
      </w:r>
    </w:p>
    <w:p w14:paraId="63A9FE5B">
      <w:pPr>
        <w:pStyle w:val="186"/>
        <w:ind w:firstLine="456"/>
        <w:rPr>
          <w:rFonts w:cs="Times New Roman"/>
          <w:color w:val="000000" w:themeColor="text1"/>
          <w:kern w:val="0"/>
          <w:szCs w:val="24"/>
          <w14:textFill>
            <w14:solidFill>
              <w14:schemeClr w14:val="tx1"/>
            </w14:solidFill>
          </w14:textFill>
        </w:rPr>
      </w:pPr>
      <w:r>
        <w:rPr>
          <w:rFonts w:cs="Times New Roman"/>
          <w:color w:val="000000" w:themeColor="text1"/>
          <w:spacing w:val="-6"/>
          <w:kern w:val="0"/>
          <w:szCs w:val="24"/>
          <w14:textFill>
            <w14:solidFill>
              <w14:schemeClr w14:val="tx1"/>
            </w14:solidFill>
          </w14:textFill>
        </w:rPr>
        <w:t>采用上述方法进行判定，氨气烟团初始密度未大于空气密度，不</w:t>
      </w:r>
      <w:r>
        <w:rPr>
          <w:rFonts w:cs="Times New Roman"/>
          <w:color w:val="000000" w:themeColor="text1"/>
          <w:spacing w:val="-7"/>
          <w:kern w:val="0"/>
          <w:szCs w:val="24"/>
          <w14:textFill>
            <w14:solidFill>
              <w14:schemeClr w14:val="tx1"/>
            </w14:solidFill>
          </w14:textFill>
        </w:rPr>
        <w:t>计算理查德森数，</w:t>
      </w:r>
      <w:r>
        <w:rPr>
          <w:rFonts w:cs="Times New Roman"/>
          <w:color w:val="000000" w:themeColor="text1"/>
          <w:spacing w:val="2"/>
          <w:kern w:val="0"/>
          <w:szCs w:val="24"/>
          <w14:textFill>
            <w14:solidFill>
              <w14:schemeClr w14:val="tx1"/>
            </w14:solidFill>
          </w14:textFill>
        </w:rPr>
        <w:t>采用</w:t>
      </w:r>
      <w:r>
        <w:rPr>
          <w:rFonts w:cs="Times New Roman"/>
          <w:color w:val="000000" w:themeColor="text1"/>
          <w:kern w:val="0"/>
          <w:szCs w:val="24"/>
          <w14:textFill>
            <w14:solidFill>
              <w14:schemeClr w14:val="tx1"/>
            </w14:solidFill>
          </w14:textFill>
        </w:rPr>
        <w:t>AFTOX</w:t>
      </w:r>
      <w:r>
        <w:rPr>
          <w:rFonts w:cs="Times New Roman"/>
          <w:color w:val="000000" w:themeColor="text1"/>
          <w:spacing w:val="2"/>
          <w:kern w:val="0"/>
          <w:szCs w:val="24"/>
          <w14:textFill>
            <w14:solidFill>
              <w14:schemeClr w14:val="tx1"/>
            </w14:solidFill>
          </w14:textFill>
        </w:rPr>
        <w:t>扩散模型计算；根据计算</w:t>
      </w:r>
      <w:r>
        <w:rPr>
          <w:rFonts w:cs="Times New Roman"/>
          <w:color w:val="000000" w:themeColor="text1"/>
          <w:kern w:val="0"/>
          <w:szCs w:val="24"/>
          <w14:textFill>
            <w14:solidFill>
              <w14:schemeClr w14:val="tx1"/>
            </w14:solidFill>
          </w14:textFill>
        </w:rPr>
        <w:t>SO</w:t>
      </w:r>
      <w:r>
        <w:rPr>
          <w:rFonts w:cs="Times New Roman"/>
          <w:color w:val="000000" w:themeColor="text1"/>
          <w:spacing w:val="2"/>
          <w:kern w:val="0"/>
          <w:position w:val="-1"/>
          <w:sz w:val="15"/>
          <w:szCs w:val="15"/>
          <w14:textFill>
            <w14:solidFill>
              <w14:schemeClr w14:val="tx1"/>
            </w14:solidFill>
          </w14:textFill>
        </w:rPr>
        <w:t>2</w:t>
      </w:r>
      <w:r>
        <w:rPr>
          <w:rFonts w:cs="Times New Roman"/>
          <w:color w:val="000000" w:themeColor="text1"/>
          <w:spacing w:val="2"/>
          <w:kern w:val="0"/>
          <w:szCs w:val="24"/>
          <w14:textFill>
            <w14:solidFill>
              <w14:schemeClr w14:val="tx1"/>
            </w14:solidFill>
          </w14:textFill>
        </w:rPr>
        <w:t>属于重质气体，采用</w:t>
      </w:r>
      <w:r>
        <w:rPr>
          <w:rFonts w:cs="Times New Roman"/>
          <w:color w:val="000000" w:themeColor="text1"/>
          <w:kern w:val="0"/>
          <w:szCs w:val="24"/>
          <w14:textFill>
            <w14:solidFill>
              <w14:schemeClr w14:val="tx1"/>
            </w14:solidFill>
          </w14:textFill>
        </w:rPr>
        <w:t>SLAB</w:t>
      </w:r>
      <w:r>
        <w:rPr>
          <w:rFonts w:cs="Times New Roman"/>
          <w:color w:val="000000" w:themeColor="text1"/>
          <w:spacing w:val="2"/>
          <w:kern w:val="0"/>
          <w:szCs w:val="24"/>
          <w14:textFill>
            <w14:solidFill>
              <w14:schemeClr w14:val="tx1"/>
            </w14:solidFill>
          </w14:textFill>
        </w:rPr>
        <w:t>重气体扩散</w:t>
      </w:r>
      <w:r>
        <w:rPr>
          <w:rFonts w:cs="Times New Roman"/>
          <w:color w:val="000000" w:themeColor="text1"/>
          <w:spacing w:val="-3"/>
          <w:kern w:val="0"/>
          <w:szCs w:val="24"/>
          <w14:textFill>
            <w14:solidFill>
              <w14:schemeClr w14:val="tx1"/>
            </w14:solidFill>
          </w14:textFill>
        </w:rPr>
        <w:t>模型。</w:t>
      </w:r>
    </w:p>
    <w:p w14:paraId="4AB97E1A">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9.1.2预测范围和计算点</w:t>
      </w:r>
    </w:p>
    <w:p w14:paraId="0D99A6FA">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预测范围为预测物质浓度达到评价标准时的最大</w:t>
      </w:r>
      <w:r>
        <w:rPr>
          <w:rFonts w:cs="Times New Roman"/>
          <w:color w:val="000000" w:themeColor="text1"/>
          <w:spacing w:val="-2"/>
          <w:kern w:val="0"/>
          <w:szCs w:val="24"/>
          <w14:textFill>
            <w14:solidFill>
              <w14:schemeClr w14:val="tx1"/>
            </w14:solidFill>
          </w14:textFill>
        </w:rPr>
        <w:t>影响范围。计算点分辨率选择距</w:t>
      </w:r>
      <w:r>
        <w:rPr>
          <w:rFonts w:cs="Times New Roman"/>
          <w:color w:val="000000" w:themeColor="text1"/>
          <w:spacing w:val="-9"/>
          <w:kern w:val="0"/>
          <w:szCs w:val="24"/>
          <w14:textFill>
            <w14:solidFill>
              <w14:schemeClr w14:val="tx1"/>
            </w14:solidFill>
          </w14:textFill>
        </w:rPr>
        <w:t>离风险源500m范围内20m间距，大于500m范围内50m间距。选择最不利气象条件。</w:t>
      </w:r>
    </w:p>
    <w:p w14:paraId="5F0C197A">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28</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大气风险预测模型主要参数表</w:t>
      </w:r>
    </w:p>
    <w:tbl>
      <w:tblPr>
        <w:tblStyle w:val="171"/>
        <w:tblW w:w="90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3"/>
        <w:gridCol w:w="3236"/>
        <w:gridCol w:w="3701"/>
      </w:tblGrid>
      <w:tr w14:paraId="29A68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123" w:type="dxa"/>
            <w:vAlign w:val="center"/>
          </w:tcPr>
          <w:p w14:paraId="0E20AA5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参数类型</w:t>
            </w:r>
          </w:p>
        </w:tc>
        <w:tc>
          <w:tcPr>
            <w:tcW w:w="3236" w:type="dxa"/>
            <w:vAlign w:val="center"/>
          </w:tcPr>
          <w:p w14:paraId="276CB5F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选项</w:t>
            </w:r>
          </w:p>
        </w:tc>
        <w:tc>
          <w:tcPr>
            <w:tcW w:w="3701" w:type="dxa"/>
            <w:vAlign w:val="center"/>
          </w:tcPr>
          <w:p w14:paraId="1EE88F2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其它参数</w:t>
            </w:r>
          </w:p>
        </w:tc>
      </w:tr>
      <w:tr w14:paraId="74092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restart"/>
            <w:tcBorders>
              <w:bottom w:val="nil"/>
            </w:tcBorders>
            <w:vAlign w:val="center"/>
          </w:tcPr>
          <w:p w14:paraId="4B5F0221">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泄露</w:t>
            </w:r>
          </w:p>
        </w:tc>
        <w:tc>
          <w:tcPr>
            <w:tcW w:w="3236" w:type="dxa"/>
            <w:vAlign w:val="center"/>
          </w:tcPr>
          <w:p w14:paraId="5021BA4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事故源经度(°)</w:t>
            </w:r>
          </w:p>
        </w:tc>
        <w:tc>
          <w:tcPr>
            <w:tcW w:w="3701" w:type="dxa"/>
            <w:vAlign w:val="center"/>
          </w:tcPr>
          <w:p w14:paraId="27866B5F">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color w:val="000000" w:themeColor="text1"/>
                <w14:textFill>
                  <w14:solidFill>
                    <w14:schemeClr w14:val="tx1"/>
                  </w14:solidFill>
                </w14:textFill>
              </w:rPr>
              <w:t>131.17867470</w:t>
            </w:r>
          </w:p>
        </w:tc>
      </w:tr>
      <w:tr w14:paraId="38B93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continue"/>
            <w:tcBorders>
              <w:top w:val="nil"/>
              <w:bottom w:val="nil"/>
            </w:tcBorders>
            <w:vAlign w:val="center"/>
          </w:tcPr>
          <w:p w14:paraId="7E9D4129">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3236" w:type="dxa"/>
            <w:vAlign w:val="center"/>
          </w:tcPr>
          <w:p w14:paraId="6D3B1211">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事故源纬度(°)</w:t>
            </w:r>
          </w:p>
        </w:tc>
        <w:tc>
          <w:tcPr>
            <w:tcW w:w="3701" w:type="dxa"/>
            <w:vAlign w:val="center"/>
          </w:tcPr>
          <w:p w14:paraId="66A60261">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color w:val="000000" w:themeColor="text1"/>
                <w14:textFill>
                  <w14:solidFill>
                    <w14:schemeClr w14:val="tx1"/>
                  </w14:solidFill>
                </w14:textFill>
              </w:rPr>
              <w:t>46.71976427</w:t>
            </w:r>
          </w:p>
        </w:tc>
      </w:tr>
      <w:tr w14:paraId="7222B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continue"/>
            <w:tcBorders>
              <w:top w:val="nil"/>
            </w:tcBorders>
            <w:vAlign w:val="center"/>
          </w:tcPr>
          <w:p w14:paraId="0BB7433A">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3236" w:type="dxa"/>
            <w:vAlign w:val="center"/>
          </w:tcPr>
          <w:p w14:paraId="5CDFA0DC">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事故源类型</w:t>
            </w:r>
          </w:p>
        </w:tc>
        <w:tc>
          <w:tcPr>
            <w:tcW w:w="3701" w:type="dxa"/>
            <w:vAlign w:val="center"/>
          </w:tcPr>
          <w:p w14:paraId="4B345AFC">
            <w:pPr>
              <w:kinsoku w:val="0"/>
              <w:autoSpaceDE w:val="0"/>
              <w:autoSpaceDN w:val="0"/>
              <w:adjustRightInd w:val="0"/>
              <w:snapToGrid w:val="0"/>
              <w:jc w:val="center"/>
              <w:textAlignment w:val="baseline"/>
              <w:rPr>
                <w:rFonts w:eastAsia="宋体"/>
                <w:snapToGrid w:val="0"/>
                <w:color w:val="000000" w:themeColor="text1"/>
                <w:kern w:val="0"/>
                <w:szCs w:val="13"/>
                <w14:textFill>
                  <w14:solidFill>
                    <w14:schemeClr w14:val="tx1"/>
                  </w14:solidFill>
                </w14:textFill>
              </w:rPr>
            </w:pPr>
            <w:r>
              <w:rPr>
                <w:rFonts w:eastAsia="宋体"/>
                <w:snapToGrid w:val="0"/>
                <w:color w:val="000000" w:themeColor="text1"/>
                <w:spacing w:val="7"/>
                <w:kern w:val="0"/>
                <w:szCs w:val="20"/>
                <w14:textFill>
                  <w14:solidFill>
                    <w14:schemeClr w14:val="tx1"/>
                  </w14:solidFill>
                </w14:textFill>
              </w:rPr>
              <w:t>泄漏后受热分解产生</w:t>
            </w:r>
            <w:r>
              <w:rPr>
                <w:rFonts w:eastAsia="宋体"/>
                <w:snapToGrid w:val="0"/>
                <w:color w:val="000000" w:themeColor="text1"/>
                <w:kern w:val="0"/>
                <w:szCs w:val="20"/>
                <w14:textFill>
                  <w14:solidFill>
                    <w14:schemeClr w14:val="tx1"/>
                  </w14:solidFill>
                </w14:textFill>
              </w:rPr>
              <w:t>SO</w:t>
            </w:r>
            <w:r>
              <w:rPr>
                <w:rFonts w:eastAsia="宋体"/>
                <w:snapToGrid w:val="0"/>
                <w:color w:val="000000" w:themeColor="text1"/>
                <w:spacing w:val="7"/>
                <w:kern w:val="0"/>
                <w:position w:val="-1"/>
                <w:szCs w:val="13"/>
                <w:vertAlign w:val="subscript"/>
                <w14:textFill>
                  <w14:solidFill>
                    <w14:schemeClr w14:val="tx1"/>
                  </w14:solidFill>
                </w14:textFill>
              </w:rPr>
              <w:t>2</w:t>
            </w:r>
            <w:r>
              <w:rPr>
                <w:rFonts w:eastAsia="宋体"/>
                <w:snapToGrid w:val="0"/>
                <w:color w:val="000000" w:themeColor="text1"/>
                <w:spacing w:val="7"/>
                <w:kern w:val="0"/>
                <w:szCs w:val="20"/>
                <w14:textFill>
                  <w14:solidFill>
                    <w14:schemeClr w14:val="tx1"/>
                  </w14:solidFill>
                </w14:textFill>
              </w:rPr>
              <w:t>、</w:t>
            </w:r>
            <w:r>
              <w:rPr>
                <w:rFonts w:eastAsia="宋体"/>
                <w:snapToGrid w:val="0"/>
                <w:color w:val="000000" w:themeColor="text1"/>
                <w:kern w:val="0"/>
                <w:szCs w:val="20"/>
                <w14:textFill>
                  <w14:solidFill>
                    <w14:schemeClr w14:val="tx1"/>
                  </w14:solidFill>
                </w14:textFill>
              </w:rPr>
              <w:t>NH</w:t>
            </w:r>
            <w:r>
              <w:rPr>
                <w:rFonts w:eastAsia="宋体"/>
                <w:snapToGrid w:val="0"/>
                <w:color w:val="000000" w:themeColor="text1"/>
                <w:spacing w:val="7"/>
                <w:kern w:val="0"/>
                <w:position w:val="-1"/>
                <w:szCs w:val="13"/>
                <w:vertAlign w:val="subscript"/>
                <w14:textFill>
                  <w14:solidFill>
                    <w14:schemeClr w14:val="tx1"/>
                  </w14:solidFill>
                </w14:textFill>
              </w:rPr>
              <w:t>3</w:t>
            </w:r>
          </w:p>
        </w:tc>
      </w:tr>
      <w:tr w14:paraId="441C9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restart"/>
            <w:tcBorders>
              <w:bottom w:val="nil"/>
            </w:tcBorders>
            <w:vAlign w:val="center"/>
          </w:tcPr>
          <w:p w14:paraId="74375F9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气象参数</w:t>
            </w:r>
          </w:p>
        </w:tc>
        <w:tc>
          <w:tcPr>
            <w:tcW w:w="3236" w:type="dxa"/>
            <w:vAlign w:val="center"/>
          </w:tcPr>
          <w:p w14:paraId="5AA760CB">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气象条件类型</w:t>
            </w:r>
          </w:p>
        </w:tc>
        <w:tc>
          <w:tcPr>
            <w:tcW w:w="3701" w:type="dxa"/>
            <w:vAlign w:val="center"/>
          </w:tcPr>
          <w:p w14:paraId="5D90FE2B">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最不利气象</w:t>
            </w:r>
          </w:p>
        </w:tc>
      </w:tr>
      <w:tr w14:paraId="1FA2B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continue"/>
            <w:tcBorders>
              <w:top w:val="nil"/>
              <w:bottom w:val="nil"/>
            </w:tcBorders>
            <w:vAlign w:val="center"/>
          </w:tcPr>
          <w:p w14:paraId="59406871">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3236" w:type="dxa"/>
            <w:vAlign w:val="center"/>
          </w:tcPr>
          <w:p w14:paraId="0BCBAF6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风速（m/s）</w:t>
            </w:r>
          </w:p>
        </w:tc>
        <w:tc>
          <w:tcPr>
            <w:tcW w:w="3701" w:type="dxa"/>
            <w:vAlign w:val="center"/>
          </w:tcPr>
          <w:p w14:paraId="2793C2C6">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hint="eastAsia" w:eastAsia="宋体"/>
                <w:snapToGrid w:val="0"/>
                <w:color w:val="000000" w:themeColor="text1"/>
                <w:spacing w:val="-5"/>
                <w:kern w:val="0"/>
                <w:szCs w:val="20"/>
                <w14:textFill>
                  <w14:solidFill>
                    <w14:schemeClr w14:val="tx1"/>
                  </w14:solidFill>
                </w14:textFill>
              </w:rPr>
              <w:t>3.1</w:t>
            </w:r>
          </w:p>
        </w:tc>
      </w:tr>
      <w:tr w14:paraId="6080B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continue"/>
            <w:tcBorders>
              <w:top w:val="nil"/>
              <w:bottom w:val="nil"/>
            </w:tcBorders>
            <w:vAlign w:val="center"/>
          </w:tcPr>
          <w:p w14:paraId="08A5F17F">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3236" w:type="dxa"/>
            <w:vAlign w:val="center"/>
          </w:tcPr>
          <w:p w14:paraId="40061416">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环境温度(℃)</w:t>
            </w:r>
          </w:p>
        </w:tc>
        <w:tc>
          <w:tcPr>
            <w:tcW w:w="3701" w:type="dxa"/>
            <w:vAlign w:val="center"/>
          </w:tcPr>
          <w:p w14:paraId="510B97E2">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25</w:t>
            </w:r>
          </w:p>
        </w:tc>
      </w:tr>
      <w:tr w14:paraId="28EB7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continue"/>
            <w:tcBorders>
              <w:top w:val="nil"/>
              <w:bottom w:val="nil"/>
            </w:tcBorders>
            <w:vAlign w:val="center"/>
          </w:tcPr>
          <w:p w14:paraId="6224EF99">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3236" w:type="dxa"/>
            <w:vAlign w:val="center"/>
          </w:tcPr>
          <w:p w14:paraId="5034584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相对湿度（%）</w:t>
            </w:r>
          </w:p>
        </w:tc>
        <w:tc>
          <w:tcPr>
            <w:tcW w:w="3701" w:type="dxa"/>
            <w:vAlign w:val="center"/>
          </w:tcPr>
          <w:p w14:paraId="5CBC938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50</w:t>
            </w:r>
          </w:p>
        </w:tc>
      </w:tr>
      <w:tr w14:paraId="08DBB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continue"/>
            <w:tcBorders>
              <w:top w:val="nil"/>
            </w:tcBorders>
            <w:vAlign w:val="center"/>
          </w:tcPr>
          <w:p w14:paraId="016AD76F">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3236" w:type="dxa"/>
            <w:vAlign w:val="center"/>
          </w:tcPr>
          <w:p w14:paraId="3902A8F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稳定度</w:t>
            </w:r>
          </w:p>
        </w:tc>
        <w:tc>
          <w:tcPr>
            <w:tcW w:w="3701" w:type="dxa"/>
            <w:vAlign w:val="center"/>
          </w:tcPr>
          <w:p w14:paraId="358C19EE">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F</w:t>
            </w:r>
          </w:p>
        </w:tc>
      </w:tr>
      <w:tr w14:paraId="07F79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restart"/>
            <w:tcBorders>
              <w:bottom w:val="nil"/>
            </w:tcBorders>
            <w:vAlign w:val="center"/>
          </w:tcPr>
          <w:p w14:paraId="6DBDC96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其它参数</w:t>
            </w:r>
          </w:p>
        </w:tc>
        <w:tc>
          <w:tcPr>
            <w:tcW w:w="3236" w:type="dxa"/>
            <w:vAlign w:val="center"/>
          </w:tcPr>
          <w:p w14:paraId="593026B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地表粗糙度/m</w:t>
            </w:r>
          </w:p>
        </w:tc>
        <w:tc>
          <w:tcPr>
            <w:tcW w:w="3701" w:type="dxa"/>
            <w:vAlign w:val="center"/>
          </w:tcPr>
          <w:p w14:paraId="7BC25B3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1.0</w:t>
            </w:r>
          </w:p>
        </w:tc>
      </w:tr>
      <w:tr w14:paraId="53C6B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3" w:type="dxa"/>
            <w:vMerge w:val="continue"/>
            <w:tcBorders>
              <w:top w:val="nil"/>
              <w:bottom w:val="nil"/>
            </w:tcBorders>
            <w:vAlign w:val="center"/>
          </w:tcPr>
          <w:p w14:paraId="66A9F856">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3236" w:type="dxa"/>
            <w:vAlign w:val="center"/>
          </w:tcPr>
          <w:p w14:paraId="3B4F7F2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是否考虑地形</w:t>
            </w:r>
          </w:p>
        </w:tc>
        <w:tc>
          <w:tcPr>
            <w:tcW w:w="3701" w:type="dxa"/>
            <w:vAlign w:val="center"/>
          </w:tcPr>
          <w:p w14:paraId="4C947D0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否</w:t>
            </w:r>
          </w:p>
        </w:tc>
      </w:tr>
      <w:tr w14:paraId="6B757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123" w:type="dxa"/>
            <w:vMerge w:val="continue"/>
            <w:tcBorders>
              <w:top w:val="nil"/>
            </w:tcBorders>
            <w:vAlign w:val="center"/>
          </w:tcPr>
          <w:p w14:paraId="7E4D89BA">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3236" w:type="dxa"/>
            <w:vAlign w:val="center"/>
          </w:tcPr>
          <w:p w14:paraId="0F8EC42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地形数据精度（m）</w:t>
            </w:r>
          </w:p>
        </w:tc>
        <w:tc>
          <w:tcPr>
            <w:tcW w:w="3701" w:type="dxa"/>
            <w:vAlign w:val="center"/>
          </w:tcPr>
          <w:p w14:paraId="0EB53C74">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w:t>
            </w:r>
          </w:p>
        </w:tc>
      </w:tr>
    </w:tbl>
    <w:p w14:paraId="4AFE3ED9">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9.1.3大气毒性终点浓度值选取</w:t>
      </w:r>
    </w:p>
    <w:p w14:paraId="45386937">
      <w:pPr>
        <w:pStyle w:val="186"/>
        <w:ind w:firstLine="484"/>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参照《建设项目环境风险评价技术导则》（</w:t>
      </w:r>
      <w:r>
        <w:rPr>
          <w:rFonts w:cs="Times New Roman"/>
          <w:color w:val="000000" w:themeColor="text1"/>
          <w:kern w:val="0"/>
          <w:szCs w:val="24"/>
          <w14:textFill>
            <w14:solidFill>
              <w14:schemeClr w14:val="tx1"/>
            </w14:solidFill>
          </w14:textFill>
        </w:rPr>
        <w:t>HJ</w:t>
      </w:r>
      <w:r>
        <w:rPr>
          <w:rFonts w:cs="Times New Roman"/>
          <w:color w:val="000000" w:themeColor="text1"/>
          <w:spacing w:val="1"/>
          <w:kern w:val="0"/>
          <w:szCs w:val="24"/>
          <w14:textFill>
            <w14:solidFill>
              <w14:schemeClr w14:val="tx1"/>
            </w14:solidFill>
          </w14:textFill>
        </w:rPr>
        <w:t>169-2018）中附录H确定大气毒</w:t>
      </w:r>
      <w:r>
        <w:rPr>
          <w:rFonts w:cs="Times New Roman"/>
          <w:color w:val="000000" w:themeColor="text1"/>
          <w:spacing w:val="-3"/>
          <w:kern w:val="0"/>
          <w:szCs w:val="24"/>
          <w14:textFill>
            <w14:solidFill>
              <w14:schemeClr w14:val="tx1"/>
            </w14:solidFill>
          </w14:textFill>
        </w:rPr>
        <w:t>性终点浓度值，其中1级为当大气中危险物质浓度低于限值时，绝大多数</w:t>
      </w:r>
      <w:r>
        <w:rPr>
          <w:rFonts w:cs="Times New Roman"/>
          <w:color w:val="000000" w:themeColor="text1"/>
          <w:spacing w:val="-4"/>
          <w:kern w:val="0"/>
          <w:szCs w:val="24"/>
          <w14:textFill>
            <w14:solidFill>
              <w14:schemeClr w14:val="tx1"/>
            </w14:solidFill>
          </w14:textFill>
        </w:rPr>
        <w:t>人暴露1小</w:t>
      </w:r>
      <w:r>
        <w:rPr>
          <w:rFonts w:cs="Times New Roman"/>
          <w:color w:val="000000" w:themeColor="text1"/>
          <w:kern w:val="0"/>
          <w:szCs w:val="24"/>
          <w14:textFill>
            <w14:solidFill>
              <w14:schemeClr w14:val="tx1"/>
            </w14:solidFill>
          </w14:textFill>
        </w:rPr>
        <w:t>时不会对生命造成威胁，当超过该限值时，有可能对人群造成生命威胁；2级为当大</w:t>
      </w:r>
      <w:r>
        <w:rPr>
          <w:rFonts w:cs="Times New Roman"/>
          <w:color w:val="000000" w:themeColor="text1"/>
          <w:spacing w:val="1"/>
          <w:kern w:val="0"/>
          <w:szCs w:val="24"/>
          <w14:textFill>
            <w14:solidFill>
              <w14:schemeClr w14:val="tx1"/>
            </w14:solidFill>
          </w14:textFill>
        </w:rPr>
        <w:t>气中危险物质浓度低于该限值时，暴露1h不会对人体造成不</w:t>
      </w:r>
      <w:r>
        <w:rPr>
          <w:rFonts w:cs="Times New Roman"/>
          <w:color w:val="000000" w:themeColor="text1"/>
          <w:kern w:val="0"/>
          <w:szCs w:val="24"/>
          <w14:textFill>
            <w14:solidFill>
              <w14:schemeClr w14:val="tx1"/>
            </w14:solidFill>
          </w14:textFill>
        </w:rPr>
        <w:t>可逆伤害，或出现的症</w:t>
      </w:r>
      <w:r>
        <w:rPr>
          <w:rFonts w:cs="Times New Roman"/>
          <w:color w:val="000000" w:themeColor="text1"/>
          <w:spacing w:val="-1"/>
          <w:kern w:val="0"/>
          <w:szCs w:val="24"/>
          <w14:textFill>
            <w14:solidFill>
              <w14:schemeClr w14:val="tx1"/>
            </w14:solidFill>
          </w14:textFill>
        </w:rPr>
        <w:t>状一般不会损伤个体采取有效防护措施的能力。</w:t>
      </w:r>
    </w:p>
    <w:p w14:paraId="0756BE3E">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29</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大气毒性终点浓度值确定一览表</w:t>
      </w:r>
    </w:p>
    <w:tbl>
      <w:tblPr>
        <w:tblStyle w:val="171"/>
        <w:tblW w:w="8526" w:type="dxa"/>
        <w:tblInd w:w="2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7"/>
        <w:gridCol w:w="3217"/>
        <w:gridCol w:w="3802"/>
      </w:tblGrid>
      <w:tr w14:paraId="04E10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1507" w:type="dxa"/>
            <w:vMerge w:val="restart"/>
            <w:tcBorders>
              <w:bottom w:val="single" w:color="000000" w:sz="2" w:space="0"/>
            </w:tcBorders>
          </w:tcPr>
          <w:p w14:paraId="0AC97F9B">
            <w:pPr>
              <w:kinsoku w:val="0"/>
              <w:autoSpaceDE w:val="0"/>
              <w:autoSpaceDN w:val="0"/>
              <w:adjustRightInd w:val="0"/>
              <w:snapToGrid w:val="0"/>
              <w:spacing w:before="36" w:line="228" w:lineRule="auto"/>
              <w:ind w:left="339"/>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风险物质</w:t>
            </w:r>
          </w:p>
        </w:tc>
        <w:tc>
          <w:tcPr>
            <w:tcW w:w="7019" w:type="dxa"/>
            <w:gridSpan w:val="2"/>
          </w:tcPr>
          <w:p w14:paraId="56A13716">
            <w:pPr>
              <w:kinsoku w:val="0"/>
              <w:autoSpaceDE w:val="0"/>
              <w:autoSpaceDN w:val="0"/>
              <w:adjustRightInd w:val="0"/>
              <w:snapToGrid w:val="0"/>
              <w:spacing w:before="36" w:line="215" w:lineRule="auto"/>
              <w:ind w:left="257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大气毒性终点浓度值</w:t>
            </w:r>
          </w:p>
        </w:tc>
      </w:tr>
      <w:tr w14:paraId="06D61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07" w:type="dxa"/>
            <w:vMerge w:val="continue"/>
            <w:tcBorders>
              <w:top w:val="single" w:color="000000" w:sz="2" w:space="0"/>
              <w:bottom w:val="single" w:color="000000" w:sz="2" w:space="0"/>
            </w:tcBorders>
          </w:tcPr>
          <w:p w14:paraId="7B4404BC">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3217" w:type="dxa"/>
          </w:tcPr>
          <w:p w14:paraId="5868962F">
            <w:pPr>
              <w:kinsoku w:val="0"/>
              <w:autoSpaceDE w:val="0"/>
              <w:autoSpaceDN w:val="0"/>
              <w:adjustRightInd w:val="0"/>
              <w:snapToGrid w:val="0"/>
              <w:spacing w:before="35" w:line="215" w:lineRule="auto"/>
              <w:ind w:left="444"/>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14:textFill>
                  <w14:solidFill>
                    <w14:schemeClr w14:val="tx1"/>
                  </w14:solidFill>
                </w14:textFill>
              </w:rPr>
              <w:t>毒性终点浓度值-1(</w:t>
            </w:r>
            <w:r>
              <w:rPr>
                <w:rFonts w:eastAsia="宋体"/>
                <w:snapToGrid w:val="0"/>
                <w:color w:val="000000" w:themeColor="text1"/>
                <w:kern w:val="0"/>
                <w:szCs w:val="20"/>
                <w14:textFill>
                  <w14:solidFill>
                    <w14:schemeClr w14:val="tx1"/>
                  </w14:solidFill>
                </w14:textFill>
              </w:rPr>
              <w:t>mg</w:t>
            </w:r>
            <w:r>
              <w:rPr>
                <w:rFonts w:eastAsia="宋体"/>
                <w:snapToGrid w:val="0"/>
                <w:color w:val="000000" w:themeColor="text1"/>
                <w:spacing w:val="7"/>
                <w:kern w:val="0"/>
                <w:szCs w:val="20"/>
                <w14:textFill>
                  <w14:solidFill>
                    <w14:schemeClr w14:val="tx1"/>
                  </w14:solidFill>
                </w14:textFill>
              </w:rPr>
              <w:t>/m</w:t>
            </w:r>
            <w:r>
              <w:rPr>
                <w:rFonts w:eastAsia="宋体"/>
                <w:snapToGrid w:val="0"/>
                <w:color w:val="000000" w:themeColor="text1"/>
                <w:spacing w:val="7"/>
                <w:kern w:val="0"/>
                <w:position w:val="6"/>
                <w:szCs w:val="13"/>
                <w14:textFill>
                  <w14:solidFill>
                    <w14:schemeClr w14:val="tx1"/>
                  </w14:solidFill>
                </w14:textFill>
              </w:rPr>
              <w:t>3</w:t>
            </w:r>
            <w:r>
              <w:rPr>
                <w:rFonts w:eastAsia="宋体"/>
                <w:snapToGrid w:val="0"/>
                <w:color w:val="000000" w:themeColor="text1"/>
                <w:spacing w:val="7"/>
                <w:kern w:val="0"/>
                <w:szCs w:val="20"/>
                <w14:textFill>
                  <w14:solidFill>
                    <w14:schemeClr w14:val="tx1"/>
                  </w14:solidFill>
                </w14:textFill>
              </w:rPr>
              <w:t>)</w:t>
            </w:r>
          </w:p>
        </w:tc>
        <w:tc>
          <w:tcPr>
            <w:tcW w:w="3802" w:type="dxa"/>
          </w:tcPr>
          <w:p w14:paraId="0C523775">
            <w:pPr>
              <w:kinsoku w:val="0"/>
              <w:autoSpaceDE w:val="0"/>
              <w:autoSpaceDN w:val="0"/>
              <w:adjustRightInd w:val="0"/>
              <w:snapToGrid w:val="0"/>
              <w:spacing w:before="35" w:line="215" w:lineRule="auto"/>
              <w:ind w:left="736"/>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14:textFill>
                  <w14:solidFill>
                    <w14:schemeClr w14:val="tx1"/>
                  </w14:solidFill>
                </w14:textFill>
              </w:rPr>
              <w:t>毒性终点浓度值-2(</w:t>
            </w:r>
            <w:r>
              <w:rPr>
                <w:rFonts w:eastAsia="宋体"/>
                <w:snapToGrid w:val="0"/>
                <w:color w:val="000000" w:themeColor="text1"/>
                <w:kern w:val="0"/>
                <w:szCs w:val="20"/>
                <w14:textFill>
                  <w14:solidFill>
                    <w14:schemeClr w14:val="tx1"/>
                  </w14:solidFill>
                </w14:textFill>
              </w:rPr>
              <w:t>mg</w:t>
            </w:r>
            <w:r>
              <w:rPr>
                <w:rFonts w:eastAsia="宋体"/>
                <w:snapToGrid w:val="0"/>
                <w:color w:val="000000" w:themeColor="text1"/>
                <w:spacing w:val="7"/>
                <w:kern w:val="0"/>
                <w:szCs w:val="20"/>
                <w14:textFill>
                  <w14:solidFill>
                    <w14:schemeClr w14:val="tx1"/>
                  </w14:solidFill>
                </w14:textFill>
              </w:rPr>
              <w:t>/m</w:t>
            </w:r>
            <w:r>
              <w:rPr>
                <w:rFonts w:eastAsia="宋体"/>
                <w:snapToGrid w:val="0"/>
                <w:color w:val="000000" w:themeColor="text1"/>
                <w:spacing w:val="7"/>
                <w:kern w:val="0"/>
                <w:position w:val="6"/>
                <w:szCs w:val="13"/>
                <w14:textFill>
                  <w14:solidFill>
                    <w14:schemeClr w14:val="tx1"/>
                  </w14:solidFill>
                </w14:textFill>
              </w:rPr>
              <w:t>3</w:t>
            </w:r>
            <w:r>
              <w:rPr>
                <w:rFonts w:eastAsia="宋体"/>
                <w:snapToGrid w:val="0"/>
                <w:color w:val="000000" w:themeColor="text1"/>
                <w:spacing w:val="7"/>
                <w:kern w:val="0"/>
                <w:szCs w:val="20"/>
                <w14:textFill>
                  <w14:solidFill>
                    <w14:schemeClr w14:val="tx1"/>
                  </w14:solidFill>
                </w14:textFill>
              </w:rPr>
              <w:t>)</w:t>
            </w:r>
          </w:p>
        </w:tc>
      </w:tr>
      <w:tr w14:paraId="4FC41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 w:hRule="atLeast"/>
        </w:trPr>
        <w:tc>
          <w:tcPr>
            <w:tcW w:w="1507" w:type="dxa"/>
            <w:tcBorders>
              <w:top w:val="single" w:color="000000" w:sz="2" w:space="0"/>
              <w:bottom w:val="single" w:color="000000" w:sz="2" w:space="0"/>
            </w:tcBorders>
          </w:tcPr>
          <w:p w14:paraId="061D0FA3">
            <w:pPr>
              <w:widowControl/>
              <w:kinsoku w:val="0"/>
              <w:autoSpaceDE w:val="0"/>
              <w:autoSpaceDN w:val="0"/>
              <w:adjustRightInd w:val="0"/>
              <w:snapToGrid w:val="0"/>
              <w:spacing w:before="59" w:line="186" w:lineRule="auto"/>
              <w:ind w:left="563"/>
              <w:jc w:val="left"/>
              <w:textAlignment w:val="baseline"/>
              <w:rPr>
                <w:rFonts w:eastAsia="宋体"/>
                <w:snapToGrid w:val="0"/>
                <w:color w:val="000000" w:themeColor="text1"/>
                <w:kern w:val="0"/>
                <w:szCs w:val="13"/>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NH</w:t>
            </w:r>
            <w:r>
              <w:rPr>
                <w:rFonts w:eastAsia="宋体"/>
                <w:snapToGrid w:val="0"/>
                <w:color w:val="000000" w:themeColor="text1"/>
                <w:spacing w:val="6"/>
                <w:kern w:val="0"/>
                <w:position w:val="-1"/>
                <w:szCs w:val="13"/>
                <w:vertAlign w:val="subscript"/>
                <w:lang w:eastAsia="en-US"/>
                <w14:textFill>
                  <w14:solidFill>
                    <w14:schemeClr w14:val="tx1"/>
                  </w14:solidFill>
                </w14:textFill>
              </w:rPr>
              <w:t>3</w:t>
            </w:r>
          </w:p>
        </w:tc>
        <w:tc>
          <w:tcPr>
            <w:tcW w:w="3217" w:type="dxa"/>
          </w:tcPr>
          <w:p w14:paraId="7EE502F8">
            <w:pPr>
              <w:widowControl/>
              <w:kinsoku w:val="0"/>
              <w:autoSpaceDE w:val="0"/>
              <w:autoSpaceDN w:val="0"/>
              <w:adjustRightInd w:val="0"/>
              <w:snapToGrid w:val="0"/>
              <w:spacing w:before="56" w:line="189" w:lineRule="auto"/>
              <w:ind w:left="1454"/>
              <w:jc w:val="left"/>
              <w:textAlignment w:val="baseline"/>
              <w:rPr>
                <w:rFonts w:eastAsia="宋体"/>
                <w:snapToGrid w:val="0"/>
                <w:color w:val="000000" w:themeColor="text1"/>
                <w:kern w:val="0"/>
                <w:szCs w:val="20"/>
                <w14:textFill>
                  <w14:solidFill>
                    <w14:schemeClr w14:val="tx1"/>
                  </w14:solidFill>
                </w14:textFill>
              </w:rPr>
            </w:pPr>
            <w:r>
              <w:rPr>
                <w:snapToGrid w:val="0"/>
                <w:color w:val="000000" w:themeColor="text1"/>
                <w:spacing w:val="2"/>
                <w:kern w:val="0"/>
                <w:szCs w:val="20"/>
                <w:lang w:eastAsia="en-US"/>
                <w14:textFill>
                  <w14:solidFill>
                    <w14:schemeClr w14:val="tx1"/>
                  </w14:solidFill>
                </w14:textFill>
              </w:rPr>
              <w:t>770</w:t>
            </w:r>
          </w:p>
        </w:tc>
        <w:tc>
          <w:tcPr>
            <w:tcW w:w="3802" w:type="dxa"/>
          </w:tcPr>
          <w:p w14:paraId="5C5CF7AD">
            <w:pPr>
              <w:widowControl/>
              <w:kinsoku w:val="0"/>
              <w:autoSpaceDE w:val="0"/>
              <w:autoSpaceDN w:val="0"/>
              <w:adjustRightInd w:val="0"/>
              <w:snapToGrid w:val="0"/>
              <w:spacing w:before="56" w:line="189" w:lineRule="auto"/>
              <w:ind w:left="1763"/>
              <w:jc w:val="left"/>
              <w:textAlignment w:val="baseline"/>
              <w:rPr>
                <w:rFonts w:eastAsia="宋体"/>
                <w:snapToGrid w:val="0"/>
                <w:color w:val="000000" w:themeColor="text1"/>
                <w:kern w:val="0"/>
                <w:szCs w:val="20"/>
                <w:lang w:eastAsia="en-US"/>
                <w14:textFill>
                  <w14:solidFill>
                    <w14:schemeClr w14:val="tx1"/>
                  </w14:solidFill>
                </w14:textFill>
              </w:rPr>
            </w:pPr>
            <w:r>
              <w:rPr>
                <w:snapToGrid w:val="0"/>
                <w:color w:val="000000" w:themeColor="text1"/>
                <w:spacing w:val="-3"/>
                <w:kern w:val="0"/>
                <w:szCs w:val="20"/>
                <w:lang w:eastAsia="en-US"/>
                <w14:textFill>
                  <w14:solidFill>
                    <w14:schemeClr w14:val="tx1"/>
                  </w14:solidFill>
                </w14:textFill>
              </w:rPr>
              <w:t>110</w:t>
            </w:r>
          </w:p>
        </w:tc>
      </w:tr>
      <w:tr w14:paraId="777B6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07" w:type="dxa"/>
            <w:tcBorders>
              <w:top w:val="single" w:color="000000" w:sz="2" w:space="0"/>
            </w:tcBorders>
          </w:tcPr>
          <w:p w14:paraId="4B0C80AD">
            <w:pPr>
              <w:widowControl/>
              <w:kinsoku w:val="0"/>
              <w:autoSpaceDE w:val="0"/>
              <w:autoSpaceDN w:val="0"/>
              <w:adjustRightInd w:val="0"/>
              <w:snapToGrid w:val="0"/>
              <w:spacing w:before="55" w:line="191" w:lineRule="auto"/>
              <w:ind w:left="596"/>
              <w:jc w:val="left"/>
              <w:textAlignment w:val="baseline"/>
              <w:rPr>
                <w:rFonts w:eastAsia="宋体"/>
                <w:snapToGrid w:val="0"/>
                <w:color w:val="000000" w:themeColor="text1"/>
                <w:kern w:val="0"/>
                <w:szCs w:val="13"/>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SO</w:t>
            </w:r>
            <w:r>
              <w:rPr>
                <w:rFonts w:eastAsia="宋体"/>
                <w:snapToGrid w:val="0"/>
                <w:color w:val="000000" w:themeColor="text1"/>
                <w:spacing w:val="3"/>
                <w:kern w:val="0"/>
                <w:position w:val="-1"/>
                <w:szCs w:val="13"/>
                <w:vertAlign w:val="subscript"/>
                <w:lang w:eastAsia="en-US"/>
                <w14:textFill>
                  <w14:solidFill>
                    <w14:schemeClr w14:val="tx1"/>
                  </w14:solidFill>
                </w14:textFill>
              </w:rPr>
              <w:t>2</w:t>
            </w:r>
          </w:p>
        </w:tc>
        <w:tc>
          <w:tcPr>
            <w:tcW w:w="3217" w:type="dxa"/>
          </w:tcPr>
          <w:p w14:paraId="013DB0B2">
            <w:pPr>
              <w:widowControl/>
              <w:kinsoku w:val="0"/>
              <w:autoSpaceDE w:val="0"/>
              <w:autoSpaceDN w:val="0"/>
              <w:adjustRightInd w:val="0"/>
              <w:snapToGrid w:val="0"/>
              <w:spacing w:before="55" w:line="191" w:lineRule="auto"/>
              <w:ind w:left="1507"/>
              <w:jc w:val="left"/>
              <w:textAlignment w:val="baseline"/>
              <w:rPr>
                <w:rFonts w:eastAsia="宋体"/>
                <w:snapToGrid w:val="0"/>
                <w:color w:val="000000" w:themeColor="text1"/>
                <w:kern w:val="0"/>
                <w:szCs w:val="20"/>
                <w:lang w:eastAsia="en-US"/>
                <w14:textFill>
                  <w14:solidFill>
                    <w14:schemeClr w14:val="tx1"/>
                  </w14:solidFill>
                </w14:textFill>
              </w:rPr>
            </w:pPr>
            <w:r>
              <w:rPr>
                <w:snapToGrid w:val="0"/>
                <w:color w:val="000000" w:themeColor="text1"/>
                <w:spacing w:val="1"/>
                <w:kern w:val="0"/>
                <w:szCs w:val="20"/>
                <w:lang w:eastAsia="en-US"/>
                <w14:textFill>
                  <w14:solidFill>
                    <w14:schemeClr w14:val="tx1"/>
                  </w14:solidFill>
                </w14:textFill>
              </w:rPr>
              <w:t>79</w:t>
            </w:r>
          </w:p>
        </w:tc>
        <w:tc>
          <w:tcPr>
            <w:tcW w:w="3802" w:type="dxa"/>
          </w:tcPr>
          <w:p w14:paraId="0FEDEAF6">
            <w:pPr>
              <w:widowControl/>
              <w:kinsoku w:val="0"/>
              <w:autoSpaceDE w:val="0"/>
              <w:autoSpaceDN w:val="0"/>
              <w:adjustRightInd w:val="0"/>
              <w:snapToGrid w:val="0"/>
              <w:spacing w:before="55" w:line="191" w:lineRule="auto"/>
              <w:ind w:left="1848"/>
              <w:jc w:val="left"/>
              <w:textAlignment w:val="baseline"/>
              <w:rPr>
                <w:rFonts w:eastAsia="宋体"/>
                <w:snapToGrid w:val="0"/>
                <w:color w:val="000000" w:themeColor="text1"/>
                <w:kern w:val="0"/>
                <w:szCs w:val="20"/>
                <w:lang w:eastAsia="en-US"/>
                <w14:textFill>
                  <w14:solidFill>
                    <w14:schemeClr w14:val="tx1"/>
                  </w14:solidFill>
                </w14:textFill>
              </w:rPr>
            </w:pPr>
            <w:r>
              <w:rPr>
                <w:snapToGrid w:val="0"/>
                <w:color w:val="000000" w:themeColor="text1"/>
                <w:kern w:val="0"/>
                <w:szCs w:val="20"/>
                <w:lang w:eastAsia="en-US"/>
                <w14:textFill>
                  <w14:solidFill>
                    <w14:schemeClr w14:val="tx1"/>
                  </w14:solidFill>
                </w14:textFill>
              </w:rPr>
              <w:t>2</w:t>
            </w:r>
          </w:p>
        </w:tc>
      </w:tr>
    </w:tbl>
    <w:p w14:paraId="20A814B3">
      <w:pPr>
        <w:pStyle w:val="186"/>
        <w:ind w:firstLine="474"/>
        <w:rPr>
          <w:rFonts w:cs="Times New Roman"/>
          <w:b/>
          <w:bCs/>
          <w:color w:val="000000" w:themeColor="text1"/>
          <w:spacing w:val="-2"/>
          <w:kern w:val="0"/>
          <w:szCs w:val="24"/>
          <w:lang w:eastAsia="en-US"/>
          <w14:textFill>
            <w14:solidFill>
              <w14:schemeClr w14:val="tx1"/>
            </w14:solidFill>
          </w14:textFill>
        </w:rPr>
      </w:pPr>
    </w:p>
    <w:p w14:paraId="7B1E1BAE">
      <w:pPr>
        <w:pStyle w:val="186"/>
        <w:ind w:firstLine="474"/>
        <w:rPr>
          <w:rFonts w:cs="Times New Roman"/>
          <w:b/>
          <w:bCs/>
          <w:color w:val="000000" w:themeColor="text1"/>
          <w:spacing w:val="-2"/>
          <w:kern w:val="0"/>
          <w:szCs w:val="24"/>
          <w:lang w:eastAsia="en-US"/>
          <w14:textFill>
            <w14:solidFill>
              <w14:schemeClr w14:val="tx1"/>
            </w14:solidFill>
          </w14:textFill>
        </w:rPr>
      </w:pPr>
    </w:p>
    <w:p w14:paraId="58CAFE4A">
      <w:pPr>
        <w:pStyle w:val="186"/>
        <w:ind w:firstLine="474"/>
        <w:rPr>
          <w:rFonts w:cs="Times New Roman"/>
          <w:color w:val="000000" w:themeColor="text1"/>
          <w:kern w:val="0"/>
          <w:szCs w:val="24"/>
          <w:lang w:eastAsia="en-US"/>
          <w14:textFill>
            <w14:solidFill>
              <w14:schemeClr w14:val="tx1"/>
            </w14:solidFill>
          </w14:textFill>
        </w:rPr>
      </w:pPr>
      <w:r>
        <w:rPr>
          <w:rFonts w:cs="Times New Roman"/>
          <w:b/>
          <w:bCs/>
          <w:color w:val="000000" w:themeColor="text1"/>
          <w:spacing w:val="-2"/>
          <w:kern w:val="0"/>
          <w:szCs w:val="24"/>
          <w:lang w:eastAsia="en-US"/>
          <w14:textFill>
            <w14:solidFill>
              <w14:schemeClr w14:val="tx1"/>
            </w14:solidFill>
          </w14:textFill>
        </w:rPr>
        <w:t>9.1.4预测结果与评价</w:t>
      </w:r>
    </w:p>
    <w:p w14:paraId="5B8DFF76">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为了说明最不利气象条件下各类危险物质泄漏</w:t>
      </w:r>
      <w:r>
        <w:rPr>
          <w:rFonts w:cs="Times New Roman"/>
          <w:color w:val="000000" w:themeColor="text1"/>
          <w:spacing w:val="-2"/>
          <w:kern w:val="0"/>
          <w:szCs w:val="24"/>
          <w14:textFill>
            <w14:solidFill>
              <w14:schemeClr w14:val="tx1"/>
            </w14:solidFill>
          </w14:textFill>
        </w:rPr>
        <w:t>对周围空气环境的影响情况，采用</w:t>
      </w:r>
      <w:r>
        <w:rPr>
          <w:rFonts w:cs="Times New Roman"/>
          <w:color w:val="000000" w:themeColor="text1"/>
          <w:spacing w:val="-1"/>
          <w:kern w:val="0"/>
          <w:szCs w:val="24"/>
          <w14:textFill>
            <w14:solidFill>
              <w14:schemeClr w14:val="tx1"/>
            </w14:solidFill>
          </w14:textFill>
        </w:rPr>
        <w:t>导则推荐的预测模式，预测泄漏事故时有毒有害</w:t>
      </w:r>
      <w:r>
        <w:rPr>
          <w:rFonts w:cs="Times New Roman"/>
          <w:color w:val="000000" w:themeColor="text1"/>
          <w:spacing w:val="-2"/>
          <w:kern w:val="0"/>
          <w:szCs w:val="24"/>
          <w14:textFill>
            <w14:solidFill>
              <w14:schemeClr w14:val="tx1"/>
            </w14:solidFill>
          </w14:textFill>
        </w:rPr>
        <w:t>物质对大气环境的影响浓度和影响范</w:t>
      </w:r>
      <w:r>
        <w:rPr>
          <w:rFonts w:cs="Times New Roman"/>
          <w:color w:val="000000" w:themeColor="text1"/>
          <w:spacing w:val="-8"/>
          <w:kern w:val="0"/>
          <w:szCs w:val="24"/>
          <w14:textFill>
            <w14:solidFill>
              <w14:schemeClr w14:val="tx1"/>
            </w14:solidFill>
          </w14:textFill>
        </w:rPr>
        <w:t>围。</w:t>
      </w:r>
    </w:p>
    <w:p w14:paraId="3E8753C4">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（1）硫酸铵泄漏后受热分解产生氨气影响预测结果</w:t>
      </w:r>
    </w:p>
    <w:p w14:paraId="7CC8564B">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30</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氨气事故源项及事故后果基本信息表（最不利气象）</w:t>
      </w:r>
    </w:p>
    <w:tbl>
      <w:tblPr>
        <w:tblStyle w:val="171"/>
        <w:tblW w:w="8788"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7"/>
        <w:gridCol w:w="728"/>
        <w:gridCol w:w="862"/>
        <w:gridCol w:w="1607"/>
        <w:gridCol w:w="1073"/>
        <w:gridCol w:w="12"/>
        <w:gridCol w:w="992"/>
        <w:gridCol w:w="55"/>
        <w:gridCol w:w="1463"/>
        <w:gridCol w:w="41"/>
        <w:gridCol w:w="1418"/>
      </w:tblGrid>
      <w:tr w14:paraId="52EC6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8788" w:type="dxa"/>
            <w:gridSpan w:val="11"/>
            <w:tcBorders>
              <w:tl2br w:val="nil"/>
              <w:tr2bl w:val="nil"/>
            </w:tcBorders>
          </w:tcPr>
          <w:p w14:paraId="3A6684C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风险事故情形分析</w:t>
            </w:r>
          </w:p>
        </w:tc>
      </w:tr>
      <w:tr w14:paraId="3616B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65" w:type="dxa"/>
            <w:gridSpan w:val="2"/>
            <w:tcBorders>
              <w:tl2br w:val="nil"/>
              <w:tr2bl w:val="nil"/>
            </w:tcBorders>
          </w:tcPr>
          <w:p w14:paraId="5D8D82E3">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代表性风险事故</w:t>
            </w:r>
            <w:r>
              <w:rPr>
                <w:rFonts w:eastAsia="宋体"/>
                <w:snapToGrid w:val="0"/>
                <w:color w:val="000000" w:themeColor="text1"/>
                <w:spacing w:val="7"/>
                <w:kern w:val="0"/>
                <w:szCs w:val="20"/>
                <w14:textFill>
                  <w14:solidFill>
                    <w14:schemeClr w14:val="tx1"/>
                  </w14:solidFill>
                </w14:textFill>
              </w:rPr>
              <w:t>情形描述</w:t>
            </w:r>
          </w:p>
        </w:tc>
        <w:tc>
          <w:tcPr>
            <w:tcW w:w="7523" w:type="dxa"/>
            <w:gridSpan w:val="9"/>
            <w:tcBorders>
              <w:tl2br w:val="nil"/>
              <w:tr2bl w:val="nil"/>
            </w:tcBorders>
            <w:vAlign w:val="center"/>
          </w:tcPr>
          <w:p w14:paraId="3C4E6086">
            <w:pPr>
              <w:kinsoku w:val="0"/>
              <w:autoSpaceDE w:val="0"/>
              <w:autoSpaceDN w:val="0"/>
              <w:adjustRightInd w:val="0"/>
              <w:snapToGrid w:val="0"/>
              <w:jc w:val="center"/>
              <w:textAlignment w:val="baseline"/>
              <w:rPr>
                <w:rFonts w:eastAsia="宋体"/>
                <w:snapToGrid w:val="0"/>
                <w:color w:val="000000" w:themeColor="text1"/>
                <w:kern w:val="0"/>
                <w:szCs w:val="13"/>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硫酸铵泄漏后，因火灾受热分解产生</w:t>
            </w:r>
            <w:r>
              <w:rPr>
                <w:rFonts w:eastAsia="宋体"/>
                <w:snapToGrid w:val="0"/>
                <w:color w:val="000000" w:themeColor="text1"/>
                <w:kern w:val="0"/>
                <w:szCs w:val="20"/>
                <w14:textFill>
                  <w14:solidFill>
                    <w14:schemeClr w14:val="tx1"/>
                  </w14:solidFill>
                </w14:textFill>
              </w:rPr>
              <w:t>NH</w:t>
            </w:r>
            <w:r>
              <w:rPr>
                <w:rFonts w:eastAsia="宋体"/>
                <w:snapToGrid w:val="0"/>
                <w:color w:val="000000" w:themeColor="text1"/>
                <w:spacing w:val="9"/>
                <w:kern w:val="0"/>
                <w:position w:val="-1"/>
                <w:szCs w:val="13"/>
                <w:vertAlign w:val="subscript"/>
                <w14:textFill>
                  <w14:solidFill>
                    <w14:schemeClr w14:val="tx1"/>
                  </w14:solidFill>
                </w14:textFill>
              </w:rPr>
              <w:t>3</w:t>
            </w:r>
          </w:p>
        </w:tc>
      </w:tr>
      <w:tr w14:paraId="5D7F5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265" w:type="dxa"/>
            <w:gridSpan w:val="2"/>
            <w:tcBorders>
              <w:tl2br w:val="nil"/>
              <w:tr2bl w:val="nil"/>
            </w:tcBorders>
          </w:tcPr>
          <w:p w14:paraId="1475337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环境风险类型</w:t>
            </w:r>
          </w:p>
        </w:tc>
        <w:tc>
          <w:tcPr>
            <w:tcW w:w="7523" w:type="dxa"/>
            <w:gridSpan w:val="9"/>
            <w:tcBorders>
              <w:tl2br w:val="nil"/>
              <w:tr2bl w:val="nil"/>
            </w:tcBorders>
          </w:tcPr>
          <w:p w14:paraId="131BF77C">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次生事故</w:t>
            </w:r>
          </w:p>
        </w:tc>
      </w:tr>
      <w:tr w14:paraId="13A8C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265" w:type="dxa"/>
            <w:gridSpan w:val="2"/>
            <w:tcBorders>
              <w:tl2br w:val="nil"/>
              <w:tr2bl w:val="nil"/>
            </w:tcBorders>
          </w:tcPr>
          <w:p w14:paraId="2D748F6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泄漏设备类型</w:t>
            </w:r>
          </w:p>
        </w:tc>
        <w:tc>
          <w:tcPr>
            <w:tcW w:w="862" w:type="dxa"/>
            <w:tcBorders>
              <w:tl2br w:val="nil"/>
              <w:tr2bl w:val="nil"/>
            </w:tcBorders>
          </w:tcPr>
          <w:p w14:paraId="5EE092B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储存设施</w:t>
            </w:r>
          </w:p>
        </w:tc>
        <w:tc>
          <w:tcPr>
            <w:tcW w:w="2680" w:type="dxa"/>
            <w:gridSpan w:val="2"/>
            <w:tcBorders>
              <w:tl2br w:val="nil"/>
              <w:tr2bl w:val="nil"/>
            </w:tcBorders>
          </w:tcPr>
          <w:p w14:paraId="6E3AB5D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操作温度/℃</w:t>
            </w:r>
          </w:p>
        </w:tc>
        <w:tc>
          <w:tcPr>
            <w:tcW w:w="1059" w:type="dxa"/>
            <w:gridSpan w:val="3"/>
            <w:tcBorders>
              <w:tl2br w:val="nil"/>
              <w:tr2bl w:val="nil"/>
            </w:tcBorders>
          </w:tcPr>
          <w:p w14:paraId="7483DFCF">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常温</w:t>
            </w:r>
          </w:p>
        </w:tc>
        <w:tc>
          <w:tcPr>
            <w:tcW w:w="1463" w:type="dxa"/>
            <w:tcBorders>
              <w:tl2br w:val="nil"/>
              <w:tr2bl w:val="nil"/>
            </w:tcBorders>
          </w:tcPr>
          <w:p w14:paraId="4CF64D01">
            <w:pPr>
              <w:kinsoku w:val="0"/>
              <w:autoSpaceDE w:val="0"/>
              <w:autoSpaceDN w:val="0"/>
              <w:adjustRightInd w:val="0"/>
              <w:snapToGrid w:val="0"/>
              <w:spacing w:before="36" w:line="223" w:lineRule="auto"/>
              <w:ind w:left="187"/>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操作压力/</w:t>
            </w:r>
            <w:r>
              <w:rPr>
                <w:rFonts w:eastAsia="宋体"/>
                <w:snapToGrid w:val="0"/>
                <w:color w:val="000000" w:themeColor="text1"/>
                <w:kern w:val="0"/>
                <w:szCs w:val="20"/>
                <w:lang w:eastAsia="en-US"/>
                <w14:textFill>
                  <w14:solidFill>
                    <w14:schemeClr w14:val="tx1"/>
                  </w14:solidFill>
                </w14:textFill>
              </w:rPr>
              <w:t>Pa</w:t>
            </w:r>
          </w:p>
        </w:tc>
        <w:tc>
          <w:tcPr>
            <w:tcW w:w="1459" w:type="dxa"/>
            <w:gridSpan w:val="2"/>
            <w:tcBorders>
              <w:tl2br w:val="nil"/>
              <w:tr2bl w:val="nil"/>
            </w:tcBorders>
          </w:tcPr>
          <w:p w14:paraId="37E86DCC">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w:t>
            </w:r>
          </w:p>
        </w:tc>
      </w:tr>
      <w:tr w14:paraId="4F75D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265" w:type="dxa"/>
            <w:gridSpan w:val="2"/>
            <w:tcBorders>
              <w:tl2br w:val="nil"/>
              <w:tr2bl w:val="nil"/>
            </w:tcBorders>
          </w:tcPr>
          <w:p w14:paraId="5C3E79F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泄漏危险物质</w:t>
            </w:r>
          </w:p>
        </w:tc>
        <w:tc>
          <w:tcPr>
            <w:tcW w:w="862" w:type="dxa"/>
            <w:tcBorders>
              <w:tl2br w:val="nil"/>
              <w:tr2bl w:val="nil"/>
            </w:tcBorders>
          </w:tcPr>
          <w:p w14:paraId="1BFBBA8B">
            <w:pPr>
              <w:kinsoku w:val="0"/>
              <w:autoSpaceDE w:val="0"/>
              <w:autoSpaceDN w:val="0"/>
              <w:adjustRightInd w:val="0"/>
              <w:snapToGrid w:val="0"/>
              <w:jc w:val="center"/>
              <w:textAlignment w:val="baseline"/>
              <w:rPr>
                <w:rFonts w:eastAsia="宋体"/>
                <w:snapToGrid w:val="0"/>
                <w:color w:val="000000" w:themeColor="text1"/>
                <w:kern w:val="0"/>
                <w:szCs w:val="13"/>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NH</w:t>
            </w:r>
            <w:r>
              <w:rPr>
                <w:rFonts w:eastAsia="宋体"/>
                <w:snapToGrid w:val="0"/>
                <w:color w:val="000000" w:themeColor="text1"/>
                <w:spacing w:val="6"/>
                <w:kern w:val="0"/>
                <w:position w:val="-1"/>
                <w:szCs w:val="13"/>
                <w:vertAlign w:val="subscript"/>
                <w:lang w:eastAsia="en-US"/>
                <w14:textFill>
                  <w14:solidFill>
                    <w14:schemeClr w14:val="tx1"/>
                  </w14:solidFill>
                </w14:textFill>
              </w:rPr>
              <w:t>3</w:t>
            </w:r>
          </w:p>
        </w:tc>
        <w:tc>
          <w:tcPr>
            <w:tcW w:w="2680" w:type="dxa"/>
            <w:gridSpan w:val="2"/>
            <w:tcBorders>
              <w:tl2br w:val="nil"/>
              <w:tr2bl w:val="nil"/>
            </w:tcBorders>
          </w:tcPr>
          <w:p w14:paraId="5C466B41">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最大存在量/t</w:t>
            </w:r>
          </w:p>
        </w:tc>
        <w:tc>
          <w:tcPr>
            <w:tcW w:w="1059" w:type="dxa"/>
            <w:gridSpan w:val="3"/>
            <w:tcBorders>
              <w:tl2br w:val="nil"/>
              <w:tr2bl w:val="nil"/>
            </w:tcBorders>
          </w:tcPr>
          <w:p w14:paraId="5DB5683B">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w:t>
            </w:r>
          </w:p>
        </w:tc>
        <w:tc>
          <w:tcPr>
            <w:tcW w:w="1463" w:type="dxa"/>
            <w:tcBorders>
              <w:tl2br w:val="nil"/>
              <w:tr2bl w:val="nil"/>
            </w:tcBorders>
          </w:tcPr>
          <w:p w14:paraId="57269091">
            <w:pPr>
              <w:kinsoku w:val="0"/>
              <w:autoSpaceDE w:val="0"/>
              <w:autoSpaceDN w:val="0"/>
              <w:adjustRightInd w:val="0"/>
              <w:snapToGrid w:val="0"/>
              <w:spacing w:before="36" w:line="223" w:lineRule="auto"/>
              <w:ind w:left="134"/>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泄漏孔径/</w:t>
            </w:r>
            <w:r>
              <w:rPr>
                <w:rFonts w:eastAsia="宋体"/>
                <w:snapToGrid w:val="0"/>
                <w:color w:val="000000" w:themeColor="text1"/>
                <w:kern w:val="0"/>
                <w:szCs w:val="20"/>
                <w:lang w:eastAsia="en-US"/>
                <w14:textFill>
                  <w14:solidFill>
                    <w14:schemeClr w14:val="tx1"/>
                  </w14:solidFill>
                </w14:textFill>
              </w:rPr>
              <w:t>mm</w:t>
            </w:r>
          </w:p>
        </w:tc>
        <w:tc>
          <w:tcPr>
            <w:tcW w:w="1459" w:type="dxa"/>
            <w:gridSpan w:val="2"/>
            <w:tcBorders>
              <w:tl2br w:val="nil"/>
              <w:tr2bl w:val="nil"/>
            </w:tcBorders>
          </w:tcPr>
          <w:p w14:paraId="27A804F6">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w:t>
            </w:r>
          </w:p>
        </w:tc>
      </w:tr>
      <w:tr w14:paraId="339D7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265" w:type="dxa"/>
            <w:gridSpan w:val="2"/>
            <w:tcBorders>
              <w:tl2br w:val="nil"/>
              <w:tr2bl w:val="nil"/>
            </w:tcBorders>
          </w:tcPr>
          <w:p w14:paraId="109F3F6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泄漏速率/(</w:t>
            </w:r>
            <w:r>
              <w:rPr>
                <w:rFonts w:eastAsia="宋体"/>
                <w:snapToGrid w:val="0"/>
                <w:color w:val="000000" w:themeColor="text1"/>
                <w:kern w:val="0"/>
                <w:szCs w:val="20"/>
                <w:lang w:eastAsia="en-US"/>
                <w14:textFill>
                  <w14:solidFill>
                    <w14:schemeClr w14:val="tx1"/>
                  </w14:solidFill>
                </w14:textFill>
              </w:rPr>
              <w:t>kg</w:t>
            </w:r>
            <w:r>
              <w:rPr>
                <w:rFonts w:eastAsia="宋体"/>
                <w:snapToGrid w:val="0"/>
                <w:color w:val="000000" w:themeColor="text1"/>
                <w:spacing w:val="5"/>
                <w:kern w:val="0"/>
                <w:szCs w:val="20"/>
                <w:lang w:eastAsia="en-US"/>
                <w14:textFill>
                  <w14:solidFill>
                    <w14:schemeClr w14:val="tx1"/>
                  </w14:solidFill>
                </w14:textFill>
              </w:rPr>
              <w:t>/s)</w:t>
            </w:r>
          </w:p>
        </w:tc>
        <w:tc>
          <w:tcPr>
            <w:tcW w:w="862" w:type="dxa"/>
            <w:tcBorders>
              <w:tl2br w:val="nil"/>
              <w:tr2bl w:val="nil"/>
            </w:tcBorders>
          </w:tcPr>
          <w:p w14:paraId="1A542AF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0.0143</w:t>
            </w:r>
          </w:p>
        </w:tc>
        <w:tc>
          <w:tcPr>
            <w:tcW w:w="2680" w:type="dxa"/>
            <w:gridSpan w:val="2"/>
            <w:tcBorders>
              <w:tl2br w:val="nil"/>
              <w:tr2bl w:val="nil"/>
            </w:tcBorders>
          </w:tcPr>
          <w:p w14:paraId="70C9830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泄漏时间/</w:t>
            </w:r>
            <w:r>
              <w:rPr>
                <w:rFonts w:eastAsia="宋体"/>
                <w:snapToGrid w:val="0"/>
                <w:color w:val="000000" w:themeColor="text1"/>
                <w:kern w:val="0"/>
                <w:szCs w:val="20"/>
                <w:lang w:eastAsia="en-US"/>
                <w14:textFill>
                  <w14:solidFill>
                    <w14:schemeClr w14:val="tx1"/>
                  </w14:solidFill>
                </w14:textFill>
              </w:rPr>
              <w:t>min</w:t>
            </w:r>
          </w:p>
        </w:tc>
        <w:tc>
          <w:tcPr>
            <w:tcW w:w="1059" w:type="dxa"/>
            <w:gridSpan w:val="3"/>
            <w:tcBorders>
              <w:tl2br w:val="nil"/>
              <w:tr2bl w:val="nil"/>
            </w:tcBorders>
          </w:tcPr>
          <w:p w14:paraId="709C476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10</w:t>
            </w:r>
          </w:p>
        </w:tc>
        <w:tc>
          <w:tcPr>
            <w:tcW w:w="1463" w:type="dxa"/>
            <w:tcBorders>
              <w:tl2br w:val="nil"/>
              <w:tr2bl w:val="nil"/>
            </w:tcBorders>
          </w:tcPr>
          <w:p w14:paraId="77421D42">
            <w:pPr>
              <w:kinsoku w:val="0"/>
              <w:autoSpaceDE w:val="0"/>
              <w:autoSpaceDN w:val="0"/>
              <w:adjustRightInd w:val="0"/>
              <w:snapToGrid w:val="0"/>
              <w:spacing w:before="36" w:line="221" w:lineRule="auto"/>
              <w:ind w:left="294"/>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泄漏量/</w:t>
            </w:r>
            <w:r>
              <w:rPr>
                <w:rFonts w:eastAsia="宋体"/>
                <w:snapToGrid w:val="0"/>
                <w:color w:val="000000" w:themeColor="text1"/>
                <w:kern w:val="0"/>
                <w:szCs w:val="20"/>
                <w:lang w:eastAsia="en-US"/>
                <w14:textFill>
                  <w14:solidFill>
                    <w14:schemeClr w14:val="tx1"/>
                  </w14:solidFill>
                </w14:textFill>
              </w:rPr>
              <w:t>kg</w:t>
            </w:r>
          </w:p>
        </w:tc>
        <w:tc>
          <w:tcPr>
            <w:tcW w:w="1459" w:type="dxa"/>
            <w:gridSpan w:val="2"/>
            <w:tcBorders>
              <w:tl2br w:val="nil"/>
              <w:tr2bl w:val="nil"/>
            </w:tcBorders>
          </w:tcPr>
          <w:p w14:paraId="7DE2219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50</w:t>
            </w:r>
          </w:p>
        </w:tc>
      </w:tr>
      <w:tr w14:paraId="23DD8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265" w:type="dxa"/>
            <w:gridSpan w:val="2"/>
            <w:tcBorders>
              <w:tl2br w:val="nil"/>
              <w:tr2bl w:val="nil"/>
            </w:tcBorders>
          </w:tcPr>
          <w:p w14:paraId="00FFF6B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泄漏高度/m</w:t>
            </w:r>
          </w:p>
        </w:tc>
        <w:tc>
          <w:tcPr>
            <w:tcW w:w="862" w:type="dxa"/>
            <w:tcBorders>
              <w:tl2br w:val="nil"/>
              <w:tr2bl w:val="nil"/>
            </w:tcBorders>
          </w:tcPr>
          <w:p w14:paraId="70F03FC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0.1</w:t>
            </w:r>
          </w:p>
        </w:tc>
        <w:tc>
          <w:tcPr>
            <w:tcW w:w="2680" w:type="dxa"/>
            <w:gridSpan w:val="2"/>
            <w:tcBorders>
              <w:tl2br w:val="nil"/>
              <w:tr2bl w:val="nil"/>
            </w:tcBorders>
          </w:tcPr>
          <w:p w14:paraId="2ABFF34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泄漏液体蒸发量/</w:t>
            </w:r>
            <w:r>
              <w:rPr>
                <w:rFonts w:eastAsia="宋体"/>
                <w:snapToGrid w:val="0"/>
                <w:color w:val="000000" w:themeColor="text1"/>
                <w:kern w:val="0"/>
                <w:szCs w:val="20"/>
                <w:lang w:eastAsia="en-US"/>
                <w14:textFill>
                  <w14:solidFill>
                    <w14:schemeClr w14:val="tx1"/>
                  </w14:solidFill>
                </w14:textFill>
              </w:rPr>
              <w:t>kg</w:t>
            </w:r>
          </w:p>
        </w:tc>
        <w:tc>
          <w:tcPr>
            <w:tcW w:w="1059" w:type="dxa"/>
            <w:gridSpan w:val="3"/>
            <w:tcBorders>
              <w:tl2br w:val="nil"/>
              <w:tr2bl w:val="nil"/>
            </w:tcBorders>
          </w:tcPr>
          <w:p w14:paraId="3D0FE90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w:t>
            </w:r>
          </w:p>
        </w:tc>
        <w:tc>
          <w:tcPr>
            <w:tcW w:w="1463" w:type="dxa"/>
            <w:tcBorders>
              <w:tl2br w:val="nil"/>
              <w:tr2bl w:val="nil"/>
            </w:tcBorders>
          </w:tcPr>
          <w:p w14:paraId="2F1B73AD">
            <w:pPr>
              <w:kinsoku w:val="0"/>
              <w:autoSpaceDE w:val="0"/>
              <w:autoSpaceDN w:val="0"/>
              <w:adjustRightInd w:val="0"/>
              <w:snapToGrid w:val="0"/>
              <w:spacing w:before="38" w:line="221" w:lineRule="auto"/>
              <w:ind w:left="326"/>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泄漏频率</w:t>
            </w:r>
          </w:p>
        </w:tc>
        <w:tc>
          <w:tcPr>
            <w:tcW w:w="1459" w:type="dxa"/>
            <w:gridSpan w:val="2"/>
            <w:tcBorders>
              <w:tl2br w:val="nil"/>
              <w:tr2bl w:val="nil"/>
            </w:tcBorders>
          </w:tcPr>
          <w:p w14:paraId="5E4E65D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1×10</w:t>
            </w:r>
            <w:r>
              <w:rPr>
                <w:rFonts w:eastAsia="宋体"/>
                <w:snapToGrid w:val="0"/>
                <w:color w:val="000000" w:themeColor="text1"/>
                <w:spacing w:val="1"/>
                <w:kern w:val="0"/>
                <w:szCs w:val="20"/>
                <w:vertAlign w:val="superscript"/>
                <w14:textFill>
                  <w14:solidFill>
                    <w14:schemeClr w14:val="tx1"/>
                  </w14:solidFill>
                </w14:textFill>
              </w:rPr>
              <w:t>-5</w:t>
            </w:r>
            <w:r>
              <w:rPr>
                <w:rFonts w:eastAsia="宋体"/>
                <w:snapToGrid w:val="0"/>
                <w:color w:val="000000" w:themeColor="text1"/>
                <w:spacing w:val="1"/>
                <w:kern w:val="0"/>
                <w:szCs w:val="20"/>
                <w:lang w:eastAsia="en-US"/>
                <w14:textFill>
                  <w14:solidFill>
                    <w14:schemeClr w14:val="tx1"/>
                  </w14:solidFill>
                </w14:textFill>
              </w:rPr>
              <w:t>/年</w:t>
            </w:r>
          </w:p>
        </w:tc>
      </w:tr>
      <w:tr w14:paraId="47C58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8788" w:type="dxa"/>
            <w:gridSpan w:val="11"/>
            <w:tcBorders>
              <w:tl2br w:val="nil"/>
              <w:tr2bl w:val="nil"/>
            </w:tcBorders>
          </w:tcPr>
          <w:p w14:paraId="13AFF43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事故后果预测</w:t>
            </w:r>
          </w:p>
        </w:tc>
      </w:tr>
      <w:tr w14:paraId="01F3B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537" w:type="dxa"/>
            <w:vMerge w:val="restart"/>
            <w:tcBorders>
              <w:tl2br w:val="nil"/>
              <w:tr2bl w:val="nil"/>
            </w:tcBorders>
            <w:vAlign w:val="center"/>
          </w:tcPr>
          <w:p w14:paraId="6933AFE8">
            <w:pPr>
              <w:kinsoku w:val="0"/>
              <w:autoSpaceDE w:val="0"/>
              <w:autoSpaceDN w:val="0"/>
              <w:adjustRightInd w:val="0"/>
              <w:snapToGrid w:val="0"/>
              <w:spacing w:before="65" w:line="228" w:lineRule="auto"/>
              <w:ind w:left="122"/>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大气</w:t>
            </w:r>
          </w:p>
        </w:tc>
        <w:tc>
          <w:tcPr>
            <w:tcW w:w="728" w:type="dxa"/>
            <w:tcBorders>
              <w:tl2br w:val="nil"/>
              <w:tr2bl w:val="nil"/>
            </w:tcBorders>
          </w:tcPr>
          <w:p w14:paraId="5A14AA4B">
            <w:pPr>
              <w:kinsoku w:val="0"/>
              <w:autoSpaceDE w:val="0"/>
              <w:autoSpaceDN w:val="0"/>
              <w:adjustRightInd w:val="0"/>
              <w:snapToGrid w:val="0"/>
              <w:spacing w:before="33" w:line="233" w:lineRule="auto"/>
              <w:ind w:left="243" w:right="249" w:firstLine="2"/>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危险</w:t>
            </w:r>
            <w:r>
              <w:rPr>
                <w:rFonts w:eastAsia="宋体"/>
                <w:snapToGrid w:val="0"/>
                <w:color w:val="000000" w:themeColor="text1"/>
                <w:spacing w:val="4"/>
                <w:kern w:val="0"/>
                <w:szCs w:val="20"/>
                <w:lang w:eastAsia="en-US"/>
                <w14:textFill>
                  <w14:solidFill>
                    <w14:schemeClr w14:val="tx1"/>
                  </w14:solidFill>
                </w14:textFill>
              </w:rPr>
              <w:t>物质</w:t>
            </w:r>
          </w:p>
        </w:tc>
        <w:tc>
          <w:tcPr>
            <w:tcW w:w="7523" w:type="dxa"/>
            <w:gridSpan w:val="9"/>
            <w:tcBorders>
              <w:tl2br w:val="nil"/>
              <w:tr2bl w:val="nil"/>
            </w:tcBorders>
            <w:vAlign w:val="center"/>
          </w:tcPr>
          <w:p w14:paraId="09C2AFF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大气环境影响</w:t>
            </w:r>
          </w:p>
        </w:tc>
      </w:tr>
      <w:tr w14:paraId="2147B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537" w:type="dxa"/>
            <w:vMerge w:val="continue"/>
            <w:tcBorders>
              <w:tl2br w:val="nil"/>
              <w:tr2bl w:val="nil"/>
            </w:tcBorders>
          </w:tcPr>
          <w:p w14:paraId="24D8D553">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restart"/>
            <w:tcBorders>
              <w:tl2br w:val="nil"/>
              <w:tr2bl w:val="nil"/>
            </w:tcBorders>
            <w:vAlign w:val="center"/>
          </w:tcPr>
          <w:p w14:paraId="1EE784A5">
            <w:pPr>
              <w:widowControl/>
              <w:kinsoku w:val="0"/>
              <w:autoSpaceDE w:val="0"/>
              <w:autoSpaceDN w:val="0"/>
              <w:adjustRightInd w:val="0"/>
              <w:snapToGrid w:val="0"/>
              <w:spacing w:before="57" w:line="201" w:lineRule="auto"/>
              <w:jc w:val="center"/>
              <w:textAlignment w:val="baseline"/>
              <w:rPr>
                <w:rFonts w:eastAsia="宋体"/>
                <w:snapToGrid w:val="0"/>
                <w:color w:val="000000" w:themeColor="text1"/>
                <w:kern w:val="0"/>
                <w:szCs w:val="13"/>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NH</w:t>
            </w:r>
            <w:r>
              <w:rPr>
                <w:rFonts w:eastAsia="宋体"/>
                <w:snapToGrid w:val="0"/>
                <w:color w:val="000000" w:themeColor="text1"/>
                <w:spacing w:val="6"/>
                <w:kern w:val="0"/>
                <w:position w:val="-1"/>
                <w:szCs w:val="13"/>
                <w:vertAlign w:val="subscript"/>
                <w:lang w:eastAsia="en-US"/>
                <w14:textFill>
                  <w14:solidFill>
                    <w14:schemeClr w14:val="tx1"/>
                  </w14:solidFill>
                </w14:textFill>
              </w:rPr>
              <w:t>3</w:t>
            </w:r>
          </w:p>
        </w:tc>
        <w:tc>
          <w:tcPr>
            <w:tcW w:w="2469" w:type="dxa"/>
            <w:gridSpan w:val="2"/>
            <w:tcBorders>
              <w:tl2br w:val="nil"/>
              <w:tr2bl w:val="nil"/>
            </w:tcBorders>
          </w:tcPr>
          <w:p w14:paraId="0EE8EBE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指标</w:t>
            </w:r>
          </w:p>
        </w:tc>
        <w:tc>
          <w:tcPr>
            <w:tcW w:w="2077" w:type="dxa"/>
            <w:gridSpan w:val="3"/>
            <w:tcBorders>
              <w:tl2br w:val="nil"/>
              <w:tr2bl w:val="nil"/>
            </w:tcBorders>
          </w:tcPr>
          <w:p w14:paraId="2B73E1D2">
            <w:pPr>
              <w:kinsoku w:val="0"/>
              <w:autoSpaceDE w:val="0"/>
              <w:autoSpaceDN w:val="0"/>
              <w:adjustRightInd w:val="0"/>
              <w:snapToGrid w:val="0"/>
              <w:spacing w:before="39" w:line="220" w:lineRule="auto"/>
              <w:jc w:val="righ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0"/>
                <w:kern w:val="0"/>
                <w:szCs w:val="20"/>
                <w:lang w:eastAsia="en-US"/>
                <w14:textFill>
                  <w14:solidFill>
                    <w14:schemeClr w14:val="tx1"/>
                  </w14:solidFill>
                </w14:textFill>
              </w:rPr>
              <w:t>浓度值/（mg/m</w:t>
            </w:r>
            <w:r>
              <w:rPr>
                <w:rFonts w:eastAsia="宋体"/>
                <w:snapToGrid w:val="0"/>
                <w:color w:val="000000" w:themeColor="text1"/>
                <w:spacing w:val="-10"/>
                <w:kern w:val="0"/>
                <w:szCs w:val="20"/>
                <w:vertAlign w:val="superscript"/>
                <w14:textFill>
                  <w14:solidFill>
                    <w14:schemeClr w14:val="tx1"/>
                  </w14:solidFill>
                </w14:textFill>
              </w:rPr>
              <w:t>3</w:t>
            </w:r>
            <w:r>
              <w:rPr>
                <w:rFonts w:eastAsia="宋体"/>
                <w:snapToGrid w:val="0"/>
                <w:color w:val="000000" w:themeColor="text1"/>
                <w:spacing w:val="-18"/>
                <w:kern w:val="0"/>
                <w:szCs w:val="20"/>
                <w:lang w:eastAsia="en-US"/>
                <w14:textFill>
                  <w14:solidFill>
                    <w14:schemeClr w14:val="tx1"/>
                  </w14:solidFill>
                </w14:textFill>
              </w:rPr>
              <w:t>）</w:t>
            </w:r>
          </w:p>
        </w:tc>
        <w:tc>
          <w:tcPr>
            <w:tcW w:w="1559" w:type="dxa"/>
            <w:gridSpan w:val="3"/>
            <w:tcBorders>
              <w:tl2br w:val="nil"/>
              <w:tr2bl w:val="nil"/>
            </w:tcBorders>
          </w:tcPr>
          <w:p w14:paraId="4226D4E6">
            <w:pPr>
              <w:kinsoku w:val="0"/>
              <w:autoSpaceDE w:val="0"/>
              <w:autoSpaceDN w:val="0"/>
              <w:adjustRightInd w:val="0"/>
              <w:snapToGrid w:val="0"/>
              <w:spacing w:before="39" w:line="220" w:lineRule="auto"/>
              <w:ind w:left="185"/>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最远影响距离/m</w:t>
            </w:r>
          </w:p>
        </w:tc>
        <w:tc>
          <w:tcPr>
            <w:tcW w:w="1418" w:type="dxa"/>
            <w:tcBorders>
              <w:tl2br w:val="nil"/>
              <w:tr2bl w:val="nil"/>
            </w:tcBorders>
          </w:tcPr>
          <w:p w14:paraId="1AA06AC3">
            <w:pPr>
              <w:kinsoku w:val="0"/>
              <w:autoSpaceDE w:val="0"/>
              <w:autoSpaceDN w:val="0"/>
              <w:adjustRightInd w:val="0"/>
              <w:snapToGrid w:val="0"/>
              <w:spacing w:before="39" w:line="220" w:lineRule="auto"/>
              <w:ind w:left="346"/>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到达时间/</w:t>
            </w:r>
            <w:r>
              <w:rPr>
                <w:rFonts w:eastAsia="宋体"/>
                <w:snapToGrid w:val="0"/>
                <w:color w:val="000000" w:themeColor="text1"/>
                <w:kern w:val="0"/>
                <w:szCs w:val="20"/>
                <w:lang w:eastAsia="en-US"/>
                <w14:textFill>
                  <w14:solidFill>
                    <w14:schemeClr w14:val="tx1"/>
                  </w14:solidFill>
                </w14:textFill>
              </w:rPr>
              <w:t>min</w:t>
            </w:r>
          </w:p>
        </w:tc>
      </w:tr>
      <w:tr w14:paraId="77093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537" w:type="dxa"/>
            <w:vMerge w:val="continue"/>
            <w:tcBorders>
              <w:tl2br w:val="nil"/>
              <w:tr2bl w:val="nil"/>
            </w:tcBorders>
          </w:tcPr>
          <w:p w14:paraId="7EF4B7CF">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48625D80">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tcPr>
          <w:p w14:paraId="6AB0C6F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大气毒性终点浓度-1</w:t>
            </w:r>
          </w:p>
        </w:tc>
        <w:tc>
          <w:tcPr>
            <w:tcW w:w="2077" w:type="dxa"/>
            <w:gridSpan w:val="3"/>
            <w:tcBorders>
              <w:tl2br w:val="nil"/>
              <w:tr2bl w:val="nil"/>
            </w:tcBorders>
            <w:vAlign w:val="center"/>
          </w:tcPr>
          <w:p w14:paraId="7E5621F6">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snapToGrid w:val="0"/>
                <w:color w:val="000000" w:themeColor="text1"/>
                <w:spacing w:val="2"/>
                <w:kern w:val="0"/>
                <w:szCs w:val="20"/>
                <w:lang w:eastAsia="en-US"/>
                <w14:textFill>
                  <w14:solidFill>
                    <w14:schemeClr w14:val="tx1"/>
                  </w14:solidFill>
                </w14:textFill>
              </w:rPr>
              <w:t>770</w:t>
            </w:r>
          </w:p>
        </w:tc>
        <w:tc>
          <w:tcPr>
            <w:tcW w:w="1559" w:type="dxa"/>
            <w:gridSpan w:val="3"/>
            <w:tcBorders>
              <w:tl2br w:val="nil"/>
              <w:tr2bl w:val="nil"/>
            </w:tcBorders>
            <w:vAlign w:val="center"/>
          </w:tcPr>
          <w:p w14:paraId="21805963">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hint="eastAsia" w:eastAsia="宋体"/>
                <w:snapToGrid w:val="0"/>
                <w:color w:val="000000" w:themeColor="text1"/>
                <w:spacing w:val="-2"/>
                <w:kern w:val="0"/>
                <w:szCs w:val="20"/>
                <w14:textFill>
                  <w14:solidFill>
                    <w14:schemeClr w14:val="tx1"/>
                  </w14:solidFill>
                </w14:textFill>
              </w:rPr>
              <w:t>70</w:t>
            </w:r>
          </w:p>
        </w:tc>
        <w:tc>
          <w:tcPr>
            <w:tcW w:w="1418" w:type="dxa"/>
            <w:tcBorders>
              <w:tl2br w:val="nil"/>
              <w:tr2bl w:val="nil"/>
            </w:tcBorders>
            <w:vAlign w:val="center"/>
          </w:tcPr>
          <w:p w14:paraId="5B9AB097">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hint="eastAsia" w:eastAsia="宋体"/>
                <w:snapToGrid w:val="0"/>
                <w:color w:val="000000" w:themeColor="text1"/>
                <w:spacing w:val="2"/>
                <w:kern w:val="0"/>
                <w:szCs w:val="20"/>
                <w14:textFill>
                  <w14:solidFill>
                    <w14:schemeClr w14:val="tx1"/>
                  </w14:solidFill>
                </w14:textFill>
              </w:rPr>
              <w:t>0.38</w:t>
            </w:r>
          </w:p>
        </w:tc>
      </w:tr>
      <w:tr w14:paraId="57359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537" w:type="dxa"/>
            <w:vMerge w:val="continue"/>
            <w:tcBorders>
              <w:tl2br w:val="nil"/>
              <w:tr2bl w:val="nil"/>
            </w:tcBorders>
          </w:tcPr>
          <w:p w14:paraId="44B04DBD">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465CA518">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tcPr>
          <w:p w14:paraId="548FA8B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大气毒性终点浓度-2</w:t>
            </w:r>
          </w:p>
        </w:tc>
        <w:tc>
          <w:tcPr>
            <w:tcW w:w="2077" w:type="dxa"/>
            <w:gridSpan w:val="3"/>
            <w:tcBorders>
              <w:tl2br w:val="nil"/>
              <w:tr2bl w:val="nil"/>
            </w:tcBorders>
            <w:vAlign w:val="center"/>
          </w:tcPr>
          <w:p w14:paraId="674EA92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snapToGrid w:val="0"/>
                <w:color w:val="000000" w:themeColor="text1"/>
                <w:spacing w:val="-6"/>
                <w:kern w:val="0"/>
                <w:szCs w:val="20"/>
                <w:lang w:eastAsia="en-US"/>
                <w14:textFill>
                  <w14:solidFill>
                    <w14:schemeClr w14:val="tx1"/>
                  </w14:solidFill>
                </w14:textFill>
              </w:rPr>
              <w:t>110</w:t>
            </w:r>
          </w:p>
        </w:tc>
        <w:tc>
          <w:tcPr>
            <w:tcW w:w="1559" w:type="dxa"/>
            <w:gridSpan w:val="3"/>
            <w:tcBorders>
              <w:tl2br w:val="nil"/>
              <w:tr2bl w:val="nil"/>
            </w:tcBorders>
            <w:vAlign w:val="center"/>
          </w:tcPr>
          <w:p w14:paraId="2F590685">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hint="eastAsia" w:eastAsia="宋体"/>
                <w:snapToGrid w:val="0"/>
                <w:color w:val="000000" w:themeColor="text1"/>
                <w:spacing w:val="3"/>
                <w:kern w:val="0"/>
                <w:szCs w:val="20"/>
                <w14:textFill>
                  <w14:solidFill>
                    <w14:schemeClr w14:val="tx1"/>
                  </w14:solidFill>
                </w14:textFill>
              </w:rPr>
              <w:t>190</w:t>
            </w:r>
          </w:p>
        </w:tc>
        <w:tc>
          <w:tcPr>
            <w:tcW w:w="1418" w:type="dxa"/>
            <w:tcBorders>
              <w:tl2br w:val="nil"/>
              <w:tr2bl w:val="nil"/>
            </w:tcBorders>
            <w:vAlign w:val="center"/>
          </w:tcPr>
          <w:p w14:paraId="48C247C8">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hint="eastAsia" w:eastAsia="宋体"/>
                <w:snapToGrid w:val="0"/>
                <w:color w:val="000000" w:themeColor="text1"/>
                <w:spacing w:val="2"/>
                <w:kern w:val="0"/>
                <w:szCs w:val="20"/>
                <w14:textFill>
                  <w14:solidFill>
                    <w14:schemeClr w14:val="tx1"/>
                  </w14:solidFill>
                </w14:textFill>
              </w:rPr>
              <w:t>1.02</w:t>
            </w:r>
          </w:p>
        </w:tc>
      </w:tr>
      <w:tr w14:paraId="329C0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537" w:type="dxa"/>
            <w:vMerge w:val="continue"/>
            <w:tcBorders>
              <w:tl2br w:val="nil"/>
              <w:tr2bl w:val="nil"/>
            </w:tcBorders>
          </w:tcPr>
          <w:p w14:paraId="6C3CC9C4">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3C287412">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2570BF7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敏感目标名称</w:t>
            </w:r>
          </w:p>
        </w:tc>
        <w:tc>
          <w:tcPr>
            <w:tcW w:w="1085" w:type="dxa"/>
            <w:gridSpan w:val="2"/>
            <w:tcBorders>
              <w:tl2br w:val="nil"/>
              <w:tr2bl w:val="nil"/>
            </w:tcBorders>
            <w:vAlign w:val="center"/>
          </w:tcPr>
          <w:p w14:paraId="70205BFB">
            <w:pPr>
              <w:kinsoku w:val="0"/>
              <w:autoSpaceDE w:val="0"/>
              <w:autoSpaceDN w:val="0"/>
              <w:adjustRightInd w:val="0"/>
              <w:snapToGrid w:val="0"/>
              <w:spacing w:before="34" w:line="233" w:lineRule="auto"/>
              <w:ind w:left="79" w:right="85" w:firstLine="73"/>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距离</w:t>
            </w:r>
            <w:r>
              <w:rPr>
                <w:rFonts w:eastAsia="宋体"/>
                <w:snapToGrid w:val="0"/>
                <w:color w:val="000000" w:themeColor="text1"/>
                <w:spacing w:val="-3"/>
                <w:kern w:val="0"/>
                <w:szCs w:val="20"/>
                <w:lang w:eastAsia="en-US"/>
                <w14:textFill>
                  <w14:solidFill>
                    <w14:schemeClr w14:val="tx1"/>
                  </w14:solidFill>
                </w14:textFill>
              </w:rPr>
              <w:t>（m）</w:t>
            </w:r>
          </w:p>
        </w:tc>
        <w:tc>
          <w:tcPr>
            <w:tcW w:w="992" w:type="dxa"/>
            <w:tcBorders>
              <w:tl2br w:val="nil"/>
              <w:tr2bl w:val="nil"/>
            </w:tcBorders>
            <w:vAlign w:val="center"/>
          </w:tcPr>
          <w:p w14:paraId="6D304D36">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超标时</w:t>
            </w:r>
            <w:r>
              <w:rPr>
                <w:rFonts w:eastAsia="宋体"/>
                <w:snapToGrid w:val="0"/>
                <w:color w:val="000000" w:themeColor="text1"/>
                <w:spacing w:val="1"/>
                <w:kern w:val="0"/>
                <w:szCs w:val="20"/>
                <w:lang w:eastAsia="en-US"/>
                <w14:textFill>
                  <w14:solidFill>
                    <w14:schemeClr w14:val="tx1"/>
                  </w14:solidFill>
                </w14:textFill>
              </w:rPr>
              <w:t>间/</w:t>
            </w:r>
            <w:r>
              <w:rPr>
                <w:rFonts w:eastAsia="宋体"/>
                <w:snapToGrid w:val="0"/>
                <w:color w:val="000000" w:themeColor="text1"/>
                <w:kern w:val="0"/>
                <w:szCs w:val="20"/>
                <w:lang w:eastAsia="en-US"/>
                <w14:textFill>
                  <w14:solidFill>
                    <w14:schemeClr w14:val="tx1"/>
                  </w14:solidFill>
                </w14:textFill>
              </w:rPr>
              <w:t>min</w:t>
            </w:r>
          </w:p>
        </w:tc>
        <w:tc>
          <w:tcPr>
            <w:tcW w:w="1559" w:type="dxa"/>
            <w:gridSpan w:val="3"/>
            <w:tcBorders>
              <w:tl2br w:val="nil"/>
              <w:tr2bl w:val="nil"/>
            </w:tcBorders>
            <w:vAlign w:val="center"/>
          </w:tcPr>
          <w:p w14:paraId="486AA163">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9"/>
                <w:kern w:val="0"/>
                <w:szCs w:val="20"/>
                <w:lang w:eastAsia="en-US"/>
                <w14:textFill>
                  <w14:solidFill>
                    <w14:schemeClr w14:val="tx1"/>
                  </w14:solidFill>
                </w14:textFill>
              </w:rPr>
              <w:t>超标持续时间/</w:t>
            </w:r>
            <w:r>
              <w:rPr>
                <w:rFonts w:eastAsia="宋体"/>
                <w:snapToGrid w:val="0"/>
                <w:color w:val="000000" w:themeColor="text1"/>
                <w:kern w:val="0"/>
                <w:szCs w:val="20"/>
                <w:lang w:eastAsia="en-US"/>
                <w14:textFill>
                  <w14:solidFill>
                    <w14:schemeClr w14:val="tx1"/>
                  </w14:solidFill>
                </w14:textFill>
              </w:rPr>
              <w:t>min</w:t>
            </w:r>
          </w:p>
        </w:tc>
        <w:tc>
          <w:tcPr>
            <w:tcW w:w="1418" w:type="dxa"/>
            <w:tcBorders>
              <w:tl2br w:val="nil"/>
              <w:tr2bl w:val="nil"/>
            </w:tcBorders>
            <w:vAlign w:val="center"/>
          </w:tcPr>
          <w:p w14:paraId="2302381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最大浓度/(</w:t>
            </w:r>
            <w:r>
              <w:rPr>
                <w:rFonts w:eastAsia="宋体"/>
                <w:snapToGrid w:val="0"/>
                <w:color w:val="000000" w:themeColor="text1"/>
                <w:kern w:val="0"/>
                <w:szCs w:val="20"/>
                <w:lang w:eastAsia="en-US"/>
                <w14:textFill>
                  <w14:solidFill>
                    <w14:schemeClr w14:val="tx1"/>
                  </w14:solidFill>
                </w14:textFill>
              </w:rPr>
              <w:t>mg</w:t>
            </w:r>
            <w:r>
              <w:rPr>
                <w:rFonts w:eastAsia="宋体"/>
                <w:snapToGrid w:val="0"/>
                <w:color w:val="000000" w:themeColor="text1"/>
                <w:spacing w:val="6"/>
                <w:kern w:val="0"/>
                <w:szCs w:val="20"/>
                <w:lang w:eastAsia="en-US"/>
                <w14:textFill>
                  <w14:solidFill>
                    <w14:schemeClr w14:val="tx1"/>
                  </w14:solidFill>
                </w14:textFill>
              </w:rPr>
              <w:t>/m</w:t>
            </w:r>
            <w:r>
              <w:rPr>
                <w:rFonts w:eastAsia="宋体"/>
                <w:snapToGrid w:val="0"/>
                <w:color w:val="000000" w:themeColor="text1"/>
                <w:spacing w:val="6"/>
                <w:kern w:val="0"/>
                <w:szCs w:val="20"/>
                <w:vertAlign w:val="superscript"/>
                <w14:textFill>
                  <w14:solidFill>
                    <w14:schemeClr w14:val="tx1"/>
                  </w14:solidFill>
                </w14:textFill>
              </w:rPr>
              <w:t>3</w:t>
            </w:r>
            <w:r>
              <w:rPr>
                <w:rFonts w:eastAsia="宋体"/>
                <w:snapToGrid w:val="0"/>
                <w:color w:val="000000" w:themeColor="text1"/>
                <w:spacing w:val="6"/>
                <w:kern w:val="0"/>
                <w:szCs w:val="20"/>
                <w:lang w:eastAsia="en-US"/>
                <w14:textFill>
                  <w14:solidFill>
                    <w14:schemeClr w14:val="tx1"/>
                  </w14:solidFill>
                </w14:textFill>
              </w:rPr>
              <w:t>)</w:t>
            </w:r>
          </w:p>
        </w:tc>
      </w:tr>
      <w:tr w14:paraId="55794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37" w:type="dxa"/>
            <w:vMerge w:val="continue"/>
            <w:tcBorders>
              <w:tl2br w:val="nil"/>
              <w:tr2bl w:val="nil"/>
            </w:tcBorders>
          </w:tcPr>
          <w:p w14:paraId="6E97996E">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27FBE4AF">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7B9B01EF">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集贤县</w:t>
            </w:r>
          </w:p>
        </w:tc>
        <w:tc>
          <w:tcPr>
            <w:tcW w:w="1085" w:type="dxa"/>
            <w:gridSpan w:val="2"/>
            <w:tcBorders>
              <w:tl2br w:val="nil"/>
              <w:tr2bl w:val="nil"/>
            </w:tcBorders>
            <w:vAlign w:val="center"/>
          </w:tcPr>
          <w:p w14:paraId="14636C27">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1400</w:t>
            </w:r>
          </w:p>
        </w:tc>
        <w:tc>
          <w:tcPr>
            <w:tcW w:w="992" w:type="dxa"/>
            <w:tcBorders>
              <w:tl2br w:val="nil"/>
              <w:tr2bl w:val="nil"/>
            </w:tcBorders>
          </w:tcPr>
          <w:p w14:paraId="0D9325E1">
            <w:pPr>
              <w:kinsoku w:val="0"/>
              <w:autoSpaceDE w:val="0"/>
              <w:autoSpaceDN w:val="0"/>
              <w:adjustRightInd w:val="0"/>
              <w:snapToGrid w:val="0"/>
              <w:spacing w:before="70"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不超标</w:t>
            </w:r>
          </w:p>
        </w:tc>
        <w:tc>
          <w:tcPr>
            <w:tcW w:w="1559" w:type="dxa"/>
            <w:gridSpan w:val="3"/>
            <w:tcBorders>
              <w:tl2br w:val="nil"/>
              <w:tr2bl w:val="nil"/>
            </w:tcBorders>
          </w:tcPr>
          <w:p w14:paraId="6A102B08">
            <w:pPr>
              <w:kinsoku w:val="0"/>
              <w:autoSpaceDE w:val="0"/>
              <w:autoSpaceDN w:val="0"/>
              <w:adjustRightInd w:val="0"/>
              <w:snapToGrid w:val="0"/>
              <w:spacing w:before="70"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不超标</w:t>
            </w:r>
          </w:p>
        </w:tc>
        <w:tc>
          <w:tcPr>
            <w:tcW w:w="1418" w:type="dxa"/>
            <w:tcBorders>
              <w:tl2br w:val="nil"/>
              <w:tr2bl w:val="nil"/>
            </w:tcBorders>
            <w:vAlign w:val="top"/>
          </w:tcPr>
          <w:p w14:paraId="49E822E2">
            <w:pPr>
              <w:widowControl/>
              <w:kinsoku w:val="0"/>
              <w:autoSpaceDE w:val="0"/>
              <w:autoSpaceDN w:val="0"/>
              <w:adjustRightInd w:val="0"/>
              <w:snapToGrid w:val="0"/>
              <w:spacing w:before="55" w:line="195" w:lineRule="auto"/>
              <w:ind w:left="628" w:leftChars="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14:textFill>
                  <w14:solidFill>
                    <w14:schemeClr w14:val="tx1"/>
                  </w14:solidFill>
                </w14:textFill>
              </w:rPr>
              <w:t>0</w:t>
            </w:r>
          </w:p>
        </w:tc>
      </w:tr>
      <w:tr w14:paraId="3D08F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37" w:type="dxa"/>
            <w:vMerge w:val="continue"/>
            <w:tcBorders>
              <w:tl2br w:val="nil"/>
              <w:tr2bl w:val="nil"/>
            </w:tcBorders>
          </w:tcPr>
          <w:p w14:paraId="2ADE72FE">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1E43C782">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71AA4339">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新发村</w:t>
            </w:r>
          </w:p>
        </w:tc>
        <w:tc>
          <w:tcPr>
            <w:tcW w:w="1085" w:type="dxa"/>
            <w:gridSpan w:val="2"/>
            <w:tcBorders>
              <w:tl2br w:val="nil"/>
              <w:tr2bl w:val="nil"/>
            </w:tcBorders>
            <w:vAlign w:val="center"/>
          </w:tcPr>
          <w:p w14:paraId="6EB2408F">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3700</w:t>
            </w:r>
          </w:p>
        </w:tc>
        <w:tc>
          <w:tcPr>
            <w:tcW w:w="992" w:type="dxa"/>
            <w:tcBorders>
              <w:tl2br w:val="nil"/>
              <w:tr2bl w:val="nil"/>
            </w:tcBorders>
          </w:tcPr>
          <w:p w14:paraId="1FDA8275">
            <w:pPr>
              <w:kinsoku w:val="0"/>
              <w:autoSpaceDE w:val="0"/>
              <w:autoSpaceDN w:val="0"/>
              <w:adjustRightInd w:val="0"/>
              <w:snapToGrid w:val="0"/>
              <w:spacing w:before="70"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6B701D97">
            <w:pPr>
              <w:kinsoku w:val="0"/>
              <w:autoSpaceDE w:val="0"/>
              <w:autoSpaceDN w:val="0"/>
              <w:adjustRightInd w:val="0"/>
              <w:snapToGrid w:val="0"/>
              <w:spacing w:before="70"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047D3956">
            <w:pPr>
              <w:widowControl/>
              <w:kinsoku w:val="0"/>
              <w:autoSpaceDE w:val="0"/>
              <w:autoSpaceDN w:val="0"/>
              <w:adjustRightInd w:val="0"/>
              <w:snapToGrid w:val="0"/>
              <w:spacing w:before="62"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
                <w:kern w:val="0"/>
                <w:szCs w:val="20"/>
                <w14:textFill>
                  <w14:solidFill>
                    <w14:schemeClr w14:val="tx1"/>
                  </w14:solidFill>
                </w14:textFill>
              </w:rPr>
              <w:t>0</w:t>
            </w:r>
          </w:p>
        </w:tc>
      </w:tr>
      <w:tr w14:paraId="21924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37" w:type="dxa"/>
            <w:vMerge w:val="continue"/>
            <w:tcBorders>
              <w:tl2br w:val="nil"/>
              <w:tr2bl w:val="nil"/>
            </w:tcBorders>
          </w:tcPr>
          <w:p w14:paraId="231B3475">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07CEBA01">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42F89154">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九三村</w:t>
            </w:r>
          </w:p>
        </w:tc>
        <w:tc>
          <w:tcPr>
            <w:tcW w:w="1085" w:type="dxa"/>
            <w:gridSpan w:val="2"/>
            <w:tcBorders>
              <w:tl2br w:val="nil"/>
              <w:tr2bl w:val="nil"/>
            </w:tcBorders>
            <w:vAlign w:val="center"/>
          </w:tcPr>
          <w:p w14:paraId="16FA0C35">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1800</w:t>
            </w:r>
          </w:p>
        </w:tc>
        <w:tc>
          <w:tcPr>
            <w:tcW w:w="992" w:type="dxa"/>
            <w:tcBorders>
              <w:tl2br w:val="nil"/>
              <w:tr2bl w:val="nil"/>
            </w:tcBorders>
          </w:tcPr>
          <w:p w14:paraId="467263E8">
            <w:pPr>
              <w:kinsoku w:val="0"/>
              <w:autoSpaceDE w:val="0"/>
              <w:autoSpaceDN w:val="0"/>
              <w:adjustRightInd w:val="0"/>
              <w:snapToGrid w:val="0"/>
              <w:spacing w:before="68"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287529D1">
            <w:pPr>
              <w:kinsoku w:val="0"/>
              <w:autoSpaceDE w:val="0"/>
              <w:autoSpaceDN w:val="0"/>
              <w:adjustRightInd w:val="0"/>
              <w:snapToGrid w:val="0"/>
              <w:spacing w:before="68"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4A690B20">
            <w:pPr>
              <w:widowControl/>
              <w:kinsoku w:val="0"/>
              <w:autoSpaceDE w:val="0"/>
              <w:autoSpaceDN w:val="0"/>
              <w:adjustRightInd w:val="0"/>
              <w:snapToGrid w:val="0"/>
              <w:spacing w:before="55" w:line="195" w:lineRule="auto"/>
              <w:ind w:left="628" w:leftChars="0"/>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14:textFill>
                  <w14:solidFill>
                    <w14:schemeClr w14:val="tx1"/>
                  </w14:solidFill>
                </w14:textFill>
              </w:rPr>
              <w:t>0</w:t>
            </w:r>
          </w:p>
        </w:tc>
      </w:tr>
      <w:tr w14:paraId="559CD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37" w:type="dxa"/>
            <w:vMerge w:val="continue"/>
            <w:tcBorders>
              <w:tl2br w:val="nil"/>
              <w:tr2bl w:val="nil"/>
            </w:tcBorders>
          </w:tcPr>
          <w:p w14:paraId="7A9D7CD6">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0AAE43F0">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3C84F0CA">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双鸭山市</w:t>
            </w:r>
          </w:p>
        </w:tc>
        <w:tc>
          <w:tcPr>
            <w:tcW w:w="1085" w:type="dxa"/>
            <w:gridSpan w:val="2"/>
            <w:tcBorders>
              <w:tl2br w:val="nil"/>
              <w:tr2bl w:val="nil"/>
            </w:tcBorders>
            <w:vAlign w:val="center"/>
          </w:tcPr>
          <w:p w14:paraId="124F4C15">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4210</w:t>
            </w:r>
          </w:p>
        </w:tc>
        <w:tc>
          <w:tcPr>
            <w:tcW w:w="992" w:type="dxa"/>
            <w:tcBorders>
              <w:tl2br w:val="nil"/>
              <w:tr2bl w:val="nil"/>
            </w:tcBorders>
          </w:tcPr>
          <w:p w14:paraId="10137294">
            <w:pPr>
              <w:kinsoku w:val="0"/>
              <w:autoSpaceDE w:val="0"/>
              <w:autoSpaceDN w:val="0"/>
              <w:adjustRightInd w:val="0"/>
              <w:snapToGrid w:val="0"/>
              <w:spacing w:before="70"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0622E6C3">
            <w:pPr>
              <w:kinsoku w:val="0"/>
              <w:autoSpaceDE w:val="0"/>
              <w:autoSpaceDN w:val="0"/>
              <w:adjustRightInd w:val="0"/>
              <w:snapToGrid w:val="0"/>
              <w:spacing w:before="70"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79C7B5B2">
            <w:pPr>
              <w:widowControl/>
              <w:kinsoku w:val="0"/>
              <w:autoSpaceDE w:val="0"/>
              <w:autoSpaceDN w:val="0"/>
              <w:adjustRightInd w:val="0"/>
              <w:snapToGrid w:val="0"/>
              <w:spacing w:before="62"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
                <w:kern w:val="0"/>
                <w:szCs w:val="20"/>
                <w14:textFill>
                  <w14:solidFill>
                    <w14:schemeClr w14:val="tx1"/>
                  </w14:solidFill>
                </w14:textFill>
              </w:rPr>
              <w:t>0</w:t>
            </w:r>
          </w:p>
        </w:tc>
      </w:tr>
      <w:tr w14:paraId="679C2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7" w:type="dxa"/>
            <w:vMerge w:val="continue"/>
            <w:tcBorders>
              <w:tl2br w:val="nil"/>
              <w:tr2bl w:val="nil"/>
            </w:tcBorders>
          </w:tcPr>
          <w:p w14:paraId="4E17F888">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57C2269F">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4B252D1E">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五四村</w:t>
            </w:r>
          </w:p>
        </w:tc>
        <w:tc>
          <w:tcPr>
            <w:tcW w:w="1085" w:type="dxa"/>
            <w:gridSpan w:val="2"/>
            <w:tcBorders>
              <w:tl2br w:val="nil"/>
              <w:tr2bl w:val="nil"/>
            </w:tcBorders>
            <w:vAlign w:val="center"/>
          </w:tcPr>
          <w:p w14:paraId="6A732D21">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280</w:t>
            </w:r>
          </w:p>
        </w:tc>
        <w:tc>
          <w:tcPr>
            <w:tcW w:w="992" w:type="dxa"/>
            <w:tcBorders>
              <w:tl2br w:val="nil"/>
              <w:tr2bl w:val="nil"/>
            </w:tcBorders>
          </w:tcPr>
          <w:p w14:paraId="6E553A27">
            <w:pPr>
              <w:kinsoku w:val="0"/>
              <w:autoSpaceDE w:val="0"/>
              <w:autoSpaceDN w:val="0"/>
              <w:adjustRightInd w:val="0"/>
              <w:snapToGrid w:val="0"/>
              <w:spacing w:before="72"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6E701EB9">
            <w:pPr>
              <w:kinsoku w:val="0"/>
              <w:autoSpaceDE w:val="0"/>
              <w:autoSpaceDN w:val="0"/>
              <w:adjustRightInd w:val="0"/>
              <w:snapToGrid w:val="0"/>
              <w:spacing w:before="72"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1DAE2DE7">
            <w:pPr>
              <w:widowControl/>
              <w:kinsoku w:val="0"/>
              <w:autoSpaceDE w:val="0"/>
              <w:autoSpaceDN w:val="0"/>
              <w:adjustRightInd w:val="0"/>
              <w:snapToGrid w:val="0"/>
              <w:spacing w:before="63" w:line="195" w:lineRule="auto"/>
              <w:jc w:val="center"/>
              <w:textAlignment w:val="baseline"/>
              <w:rPr>
                <w:rFonts w:eastAsia="宋体"/>
                <w:snapToGrid w:val="0"/>
                <w:color w:val="000000" w:themeColor="text1"/>
                <w:kern w:val="0"/>
                <w:szCs w:val="20"/>
                <w14:textFill>
                  <w14:solidFill>
                    <w14:schemeClr w14:val="tx1"/>
                  </w14:solidFill>
                </w14:textFill>
              </w:rPr>
            </w:pPr>
            <w:r>
              <w:rPr>
                <w:rFonts w:hint="eastAsia" w:eastAsia="宋体" w:cs="Times New Roman"/>
                <w:snapToGrid w:val="0"/>
                <w:color w:val="000000" w:themeColor="text1"/>
                <w:spacing w:val="8"/>
                <w:kern w:val="0"/>
                <w:szCs w:val="20"/>
                <w:lang w:val="en-US" w:eastAsia="zh-CN"/>
                <w14:textFill>
                  <w14:solidFill>
                    <w14:schemeClr w14:val="tx1"/>
                  </w14:solidFill>
                </w14:textFill>
              </w:rPr>
              <w:t>3.29</w:t>
            </w:r>
            <w:r>
              <w:rPr>
                <w:rFonts w:hint="default" w:ascii="Times New Roman" w:hAnsi="Times New Roman" w:eastAsia="宋体" w:cs="Times New Roman"/>
                <w:snapToGrid w:val="0"/>
                <w:color w:val="000000" w:themeColor="text1"/>
                <w:spacing w:val="8"/>
                <w:kern w:val="0"/>
                <w:szCs w:val="20"/>
                <w14:textFill>
                  <w14:solidFill>
                    <w14:schemeClr w14:val="tx1"/>
                  </w14:solidFill>
                </w14:textFill>
              </w:rPr>
              <w:t>×10</w:t>
            </w:r>
            <w:r>
              <w:rPr>
                <w:rFonts w:hint="default" w:ascii="Times New Roman" w:hAnsi="Times New Roman" w:eastAsia="宋体" w:cs="Times New Roman"/>
                <w:snapToGrid w:val="0"/>
                <w:color w:val="000000" w:themeColor="text1"/>
                <w:spacing w:val="8"/>
                <w:kern w:val="0"/>
                <w:szCs w:val="20"/>
                <w:vertAlign w:val="superscript"/>
                <w14:textFill>
                  <w14:solidFill>
                    <w14:schemeClr w14:val="tx1"/>
                  </w14:solidFill>
                </w14:textFill>
              </w:rPr>
              <w:t>-</w:t>
            </w:r>
            <w:r>
              <w:rPr>
                <w:rFonts w:hint="eastAsia" w:eastAsia="宋体" w:cs="Times New Roman"/>
                <w:snapToGrid w:val="0"/>
                <w:color w:val="000000" w:themeColor="text1"/>
                <w:spacing w:val="8"/>
                <w:kern w:val="0"/>
                <w:szCs w:val="20"/>
                <w:vertAlign w:val="superscript"/>
                <w:lang w:val="en-US" w:eastAsia="zh-CN"/>
                <w14:textFill>
                  <w14:solidFill>
                    <w14:schemeClr w14:val="tx1"/>
                  </w14:solidFill>
                </w14:textFill>
              </w:rPr>
              <w:t>8</w:t>
            </w:r>
          </w:p>
        </w:tc>
      </w:tr>
      <w:tr w14:paraId="669C6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7" w:type="dxa"/>
            <w:vMerge w:val="continue"/>
            <w:tcBorders>
              <w:tl2br w:val="nil"/>
              <w:tr2bl w:val="nil"/>
            </w:tcBorders>
          </w:tcPr>
          <w:p w14:paraId="136D8E1E">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51BA2DC1">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110AEF75">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公立村</w:t>
            </w:r>
          </w:p>
        </w:tc>
        <w:tc>
          <w:tcPr>
            <w:tcW w:w="1085" w:type="dxa"/>
            <w:gridSpan w:val="2"/>
            <w:tcBorders>
              <w:tl2br w:val="nil"/>
              <w:tr2bl w:val="nil"/>
            </w:tcBorders>
            <w:vAlign w:val="center"/>
          </w:tcPr>
          <w:p w14:paraId="1E6CE5F6">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2000</w:t>
            </w:r>
          </w:p>
        </w:tc>
        <w:tc>
          <w:tcPr>
            <w:tcW w:w="992" w:type="dxa"/>
            <w:tcBorders>
              <w:tl2br w:val="nil"/>
              <w:tr2bl w:val="nil"/>
            </w:tcBorders>
          </w:tcPr>
          <w:p w14:paraId="0D32AE2B">
            <w:pPr>
              <w:kinsoku w:val="0"/>
              <w:autoSpaceDE w:val="0"/>
              <w:autoSpaceDN w:val="0"/>
              <w:adjustRightInd w:val="0"/>
              <w:snapToGrid w:val="0"/>
              <w:spacing w:before="71"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2E514C85">
            <w:pPr>
              <w:kinsoku w:val="0"/>
              <w:autoSpaceDE w:val="0"/>
              <w:autoSpaceDN w:val="0"/>
              <w:adjustRightInd w:val="0"/>
              <w:snapToGrid w:val="0"/>
              <w:spacing w:before="71"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774CAAA8">
            <w:pPr>
              <w:widowControl/>
              <w:kinsoku w:val="0"/>
              <w:autoSpaceDE w:val="0"/>
              <w:autoSpaceDN w:val="0"/>
              <w:adjustRightInd w:val="0"/>
              <w:snapToGrid w:val="0"/>
              <w:spacing w:before="62"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
                <w:kern w:val="0"/>
                <w:szCs w:val="20"/>
                <w14:textFill>
                  <w14:solidFill>
                    <w14:schemeClr w14:val="tx1"/>
                  </w14:solidFill>
                </w14:textFill>
              </w:rPr>
              <w:t>0</w:t>
            </w:r>
          </w:p>
        </w:tc>
      </w:tr>
      <w:tr w14:paraId="04E31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7" w:type="dxa"/>
            <w:vMerge w:val="continue"/>
            <w:tcBorders>
              <w:tl2br w:val="nil"/>
              <w:tr2bl w:val="nil"/>
            </w:tcBorders>
          </w:tcPr>
          <w:p w14:paraId="7E0641C8">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3CAEB7BC">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2D211309">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开源村</w:t>
            </w:r>
          </w:p>
        </w:tc>
        <w:tc>
          <w:tcPr>
            <w:tcW w:w="1085" w:type="dxa"/>
            <w:gridSpan w:val="2"/>
            <w:tcBorders>
              <w:tl2br w:val="nil"/>
              <w:tr2bl w:val="nil"/>
            </w:tcBorders>
            <w:vAlign w:val="center"/>
          </w:tcPr>
          <w:p w14:paraId="15C31DAB">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3870</w:t>
            </w:r>
          </w:p>
        </w:tc>
        <w:tc>
          <w:tcPr>
            <w:tcW w:w="992" w:type="dxa"/>
            <w:tcBorders>
              <w:tl2br w:val="nil"/>
              <w:tr2bl w:val="nil"/>
            </w:tcBorders>
          </w:tcPr>
          <w:p w14:paraId="315E5EEA">
            <w:pPr>
              <w:kinsoku w:val="0"/>
              <w:autoSpaceDE w:val="0"/>
              <w:autoSpaceDN w:val="0"/>
              <w:adjustRightInd w:val="0"/>
              <w:snapToGrid w:val="0"/>
              <w:spacing w:before="73"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5ACBBFE1">
            <w:pPr>
              <w:kinsoku w:val="0"/>
              <w:autoSpaceDE w:val="0"/>
              <w:autoSpaceDN w:val="0"/>
              <w:adjustRightInd w:val="0"/>
              <w:snapToGrid w:val="0"/>
              <w:spacing w:before="73"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41B8550E">
            <w:pPr>
              <w:widowControl/>
              <w:kinsoku w:val="0"/>
              <w:autoSpaceDE w:val="0"/>
              <w:autoSpaceDN w:val="0"/>
              <w:adjustRightInd w:val="0"/>
              <w:snapToGrid w:val="0"/>
              <w:spacing w:before="55"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14:textFill>
                  <w14:solidFill>
                    <w14:schemeClr w14:val="tx1"/>
                  </w14:solidFill>
                </w14:textFill>
              </w:rPr>
              <w:t>0</w:t>
            </w:r>
          </w:p>
        </w:tc>
      </w:tr>
      <w:tr w14:paraId="7F69E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7" w:type="dxa"/>
            <w:vMerge w:val="continue"/>
            <w:tcBorders>
              <w:tl2br w:val="nil"/>
              <w:tr2bl w:val="nil"/>
            </w:tcBorders>
          </w:tcPr>
          <w:p w14:paraId="56A97C5A">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6CF50123">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7026BA6B">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中华村</w:t>
            </w:r>
          </w:p>
        </w:tc>
        <w:tc>
          <w:tcPr>
            <w:tcW w:w="1085" w:type="dxa"/>
            <w:gridSpan w:val="2"/>
            <w:tcBorders>
              <w:tl2br w:val="nil"/>
              <w:tr2bl w:val="nil"/>
            </w:tcBorders>
            <w:vAlign w:val="center"/>
          </w:tcPr>
          <w:p w14:paraId="494CB16A">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4500</w:t>
            </w:r>
          </w:p>
        </w:tc>
        <w:tc>
          <w:tcPr>
            <w:tcW w:w="992" w:type="dxa"/>
            <w:tcBorders>
              <w:tl2br w:val="nil"/>
              <w:tr2bl w:val="nil"/>
            </w:tcBorders>
          </w:tcPr>
          <w:p w14:paraId="251F0232">
            <w:pPr>
              <w:kinsoku w:val="0"/>
              <w:autoSpaceDE w:val="0"/>
              <w:autoSpaceDN w:val="0"/>
              <w:adjustRightInd w:val="0"/>
              <w:snapToGrid w:val="0"/>
              <w:spacing w:before="75"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290E9044">
            <w:pPr>
              <w:kinsoku w:val="0"/>
              <w:autoSpaceDE w:val="0"/>
              <w:autoSpaceDN w:val="0"/>
              <w:adjustRightInd w:val="0"/>
              <w:snapToGrid w:val="0"/>
              <w:spacing w:before="75"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6723799B">
            <w:pPr>
              <w:widowControl/>
              <w:kinsoku w:val="0"/>
              <w:autoSpaceDE w:val="0"/>
              <w:autoSpaceDN w:val="0"/>
              <w:adjustRightInd w:val="0"/>
              <w:snapToGrid w:val="0"/>
              <w:spacing w:before="62"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
                <w:kern w:val="0"/>
                <w:szCs w:val="20"/>
                <w14:textFill>
                  <w14:solidFill>
                    <w14:schemeClr w14:val="tx1"/>
                  </w14:solidFill>
                </w14:textFill>
              </w:rPr>
              <w:t>0</w:t>
            </w:r>
          </w:p>
        </w:tc>
      </w:tr>
      <w:tr w14:paraId="238AF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7" w:type="dxa"/>
            <w:vMerge w:val="continue"/>
            <w:tcBorders>
              <w:tl2br w:val="nil"/>
              <w:tr2bl w:val="nil"/>
            </w:tcBorders>
          </w:tcPr>
          <w:p w14:paraId="7EF6234E">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489D2339">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4F5934E1">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七一村</w:t>
            </w:r>
          </w:p>
        </w:tc>
        <w:tc>
          <w:tcPr>
            <w:tcW w:w="1085" w:type="dxa"/>
            <w:gridSpan w:val="2"/>
            <w:tcBorders>
              <w:tl2br w:val="nil"/>
              <w:tr2bl w:val="nil"/>
            </w:tcBorders>
            <w:vAlign w:val="center"/>
          </w:tcPr>
          <w:p w14:paraId="44913D4F">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4500</w:t>
            </w:r>
          </w:p>
        </w:tc>
        <w:tc>
          <w:tcPr>
            <w:tcW w:w="992" w:type="dxa"/>
            <w:tcBorders>
              <w:tl2br w:val="nil"/>
              <w:tr2bl w:val="nil"/>
            </w:tcBorders>
          </w:tcPr>
          <w:p w14:paraId="08DABBC0">
            <w:pPr>
              <w:kinsoku w:val="0"/>
              <w:autoSpaceDE w:val="0"/>
              <w:autoSpaceDN w:val="0"/>
              <w:adjustRightInd w:val="0"/>
              <w:snapToGrid w:val="0"/>
              <w:spacing w:before="74"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31616524">
            <w:pPr>
              <w:kinsoku w:val="0"/>
              <w:autoSpaceDE w:val="0"/>
              <w:autoSpaceDN w:val="0"/>
              <w:adjustRightInd w:val="0"/>
              <w:snapToGrid w:val="0"/>
              <w:spacing w:before="74"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672C2A9A">
            <w:pPr>
              <w:widowControl/>
              <w:kinsoku w:val="0"/>
              <w:autoSpaceDE w:val="0"/>
              <w:autoSpaceDN w:val="0"/>
              <w:adjustRightInd w:val="0"/>
              <w:snapToGrid w:val="0"/>
              <w:spacing w:before="55"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14:textFill>
                  <w14:solidFill>
                    <w14:schemeClr w14:val="tx1"/>
                  </w14:solidFill>
                </w14:textFill>
              </w:rPr>
              <w:t>0</w:t>
            </w:r>
          </w:p>
        </w:tc>
      </w:tr>
      <w:tr w14:paraId="62C2A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7" w:type="dxa"/>
            <w:vMerge w:val="continue"/>
            <w:tcBorders>
              <w:tl2br w:val="nil"/>
              <w:tr2bl w:val="nil"/>
            </w:tcBorders>
          </w:tcPr>
          <w:p w14:paraId="725DF87C">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0840E54A">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56D2EE8F">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东岗村</w:t>
            </w:r>
          </w:p>
        </w:tc>
        <w:tc>
          <w:tcPr>
            <w:tcW w:w="1085" w:type="dxa"/>
            <w:gridSpan w:val="2"/>
            <w:tcBorders>
              <w:tl2br w:val="nil"/>
              <w:tr2bl w:val="nil"/>
            </w:tcBorders>
            <w:vAlign w:val="center"/>
          </w:tcPr>
          <w:p w14:paraId="3AADC4B9">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4000</w:t>
            </w:r>
          </w:p>
        </w:tc>
        <w:tc>
          <w:tcPr>
            <w:tcW w:w="992" w:type="dxa"/>
            <w:tcBorders>
              <w:tl2br w:val="nil"/>
              <w:tr2bl w:val="nil"/>
            </w:tcBorders>
          </w:tcPr>
          <w:p w14:paraId="4768AE2B">
            <w:pPr>
              <w:kinsoku w:val="0"/>
              <w:autoSpaceDE w:val="0"/>
              <w:autoSpaceDN w:val="0"/>
              <w:adjustRightInd w:val="0"/>
              <w:snapToGrid w:val="0"/>
              <w:spacing w:before="76"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48C91835">
            <w:pPr>
              <w:kinsoku w:val="0"/>
              <w:autoSpaceDE w:val="0"/>
              <w:autoSpaceDN w:val="0"/>
              <w:adjustRightInd w:val="0"/>
              <w:snapToGrid w:val="0"/>
              <w:spacing w:before="76"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3B44AB28">
            <w:pPr>
              <w:widowControl/>
              <w:kinsoku w:val="0"/>
              <w:autoSpaceDE w:val="0"/>
              <w:autoSpaceDN w:val="0"/>
              <w:adjustRightInd w:val="0"/>
              <w:snapToGrid w:val="0"/>
              <w:spacing w:before="62"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
                <w:kern w:val="0"/>
                <w:szCs w:val="20"/>
                <w14:textFill>
                  <w14:solidFill>
                    <w14:schemeClr w14:val="tx1"/>
                  </w14:solidFill>
                </w14:textFill>
              </w:rPr>
              <w:t>0</w:t>
            </w:r>
          </w:p>
        </w:tc>
      </w:tr>
      <w:tr w14:paraId="2A6E8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7" w:type="dxa"/>
            <w:vMerge w:val="continue"/>
            <w:tcBorders>
              <w:tl2br w:val="nil"/>
              <w:tr2bl w:val="nil"/>
            </w:tcBorders>
          </w:tcPr>
          <w:p w14:paraId="05780AAC">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16D63041">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48365650">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永久村</w:t>
            </w:r>
          </w:p>
        </w:tc>
        <w:tc>
          <w:tcPr>
            <w:tcW w:w="1085" w:type="dxa"/>
            <w:gridSpan w:val="2"/>
            <w:tcBorders>
              <w:tl2br w:val="nil"/>
              <w:tr2bl w:val="nil"/>
            </w:tcBorders>
            <w:vAlign w:val="center"/>
          </w:tcPr>
          <w:p w14:paraId="4B575C1D">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3900</w:t>
            </w:r>
          </w:p>
        </w:tc>
        <w:tc>
          <w:tcPr>
            <w:tcW w:w="992" w:type="dxa"/>
            <w:tcBorders>
              <w:tl2br w:val="nil"/>
              <w:tr2bl w:val="nil"/>
            </w:tcBorders>
          </w:tcPr>
          <w:p w14:paraId="6F9531CE">
            <w:pPr>
              <w:kinsoku w:val="0"/>
              <w:autoSpaceDE w:val="0"/>
              <w:autoSpaceDN w:val="0"/>
              <w:adjustRightInd w:val="0"/>
              <w:snapToGrid w:val="0"/>
              <w:spacing w:before="75"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09084E40">
            <w:pPr>
              <w:kinsoku w:val="0"/>
              <w:autoSpaceDE w:val="0"/>
              <w:autoSpaceDN w:val="0"/>
              <w:adjustRightInd w:val="0"/>
              <w:snapToGrid w:val="0"/>
              <w:spacing w:before="75"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6FA20A52">
            <w:pPr>
              <w:widowControl/>
              <w:kinsoku w:val="0"/>
              <w:autoSpaceDE w:val="0"/>
              <w:autoSpaceDN w:val="0"/>
              <w:adjustRightInd w:val="0"/>
              <w:snapToGrid w:val="0"/>
              <w:spacing w:before="55"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14:textFill>
                  <w14:solidFill>
                    <w14:schemeClr w14:val="tx1"/>
                  </w14:solidFill>
                </w14:textFill>
              </w:rPr>
              <w:t>0</w:t>
            </w:r>
          </w:p>
        </w:tc>
      </w:tr>
      <w:tr w14:paraId="636A7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37" w:type="dxa"/>
            <w:vMerge w:val="continue"/>
            <w:tcBorders>
              <w:tl2br w:val="nil"/>
              <w:tr2bl w:val="nil"/>
            </w:tcBorders>
          </w:tcPr>
          <w:p w14:paraId="770A0683">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62E015F6">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2A82E5A3">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集贤县</w:t>
            </w:r>
          </w:p>
        </w:tc>
        <w:tc>
          <w:tcPr>
            <w:tcW w:w="1085" w:type="dxa"/>
            <w:gridSpan w:val="2"/>
            <w:tcBorders>
              <w:tl2br w:val="nil"/>
              <w:tr2bl w:val="nil"/>
            </w:tcBorders>
            <w:vAlign w:val="center"/>
          </w:tcPr>
          <w:p w14:paraId="7CBF4709">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1400</w:t>
            </w:r>
          </w:p>
        </w:tc>
        <w:tc>
          <w:tcPr>
            <w:tcW w:w="992" w:type="dxa"/>
            <w:tcBorders>
              <w:tl2br w:val="nil"/>
              <w:tr2bl w:val="nil"/>
            </w:tcBorders>
          </w:tcPr>
          <w:p w14:paraId="46E5FDC6">
            <w:pPr>
              <w:kinsoku w:val="0"/>
              <w:autoSpaceDE w:val="0"/>
              <w:autoSpaceDN w:val="0"/>
              <w:adjustRightInd w:val="0"/>
              <w:snapToGrid w:val="0"/>
              <w:spacing w:before="77"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23B91F4D">
            <w:pPr>
              <w:kinsoku w:val="0"/>
              <w:autoSpaceDE w:val="0"/>
              <w:autoSpaceDN w:val="0"/>
              <w:adjustRightInd w:val="0"/>
              <w:snapToGrid w:val="0"/>
              <w:spacing w:before="77"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544FCBE2">
            <w:pPr>
              <w:widowControl/>
              <w:kinsoku w:val="0"/>
              <w:autoSpaceDE w:val="0"/>
              <w:autoSpaceDN w:val="0"/>
              <w:adjustRightInd w:val="0"/>
              <w:snapToGrid w:val="0"/>
              <w:spacing w:before="62"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1"/>
                <w:kern w:val="0"/>
                <w:szCs w:val="20"/>
                <w14:textFill>
                  <w14:solidFill>
                    <w14:schemeClr w14:val="tx1"/>
                  </w14:solidFill>
                </w14:textFill>
              </w:rPr>
              <w:t>0</w:t>
            </w:r>
          </w:p>
        </w:tc>
      </w:tr>
      <w:tr w14:paraId="32435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37" w:type="dxa"/>
            <w:vMerge w:val="continue"/>
            <w:tcBorders>
              <w:tl2br w:val="nil"/>
              <w:tr2bl w:val="nil"/>
            </w:tcBorders>
          </w:tcPr>
          <w:p w14:paraId="1BD17176">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28" w:type="dxa"/>
            <w:vMerge w:val="continue"/>
            <w:tcBorders>
              <w:tl2br w:val="nil"/>
              <w:tr2bl w:val="nil"/>
            </w:tcBorders>
          </w:tcPr>
          <w:p w14:paraId="3A658693">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469" w:type="dxa"/>
            <w:gridSpan w:val="2"/>
            <w:tcBorders>
              <w:tl2br w:val="nil"/>
              <w:tr2bl w:val="nil"/>
            </w:tcBorders>
            <w:vAlign w:val="center"/>
          </w:tcPr>
          <w:p w14:paraId="2D7811B4">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新发村</w:t>
            </w:r>
          </w:p>
        </w:tc>
        <w:tc>
          <w:tcPr>
            <w:tcW w:w="1085" w:type="dxa"/>
            <w:gridSpan w:val="2"/>
            <w:tcBorders>
              <w:tl2br w:val="nil"/>
              <w:tr2bl w:val="nil"/>
            </w:tcBorders>
            <w:vAlign w:val="center"/>
          </w:tcPr>
          <w:p w14:paraId="10F1CF98">
            <w:pPr>
              <w:widowControl/>
              <w:jc w:val="center"/>
              <w:textAlignment w:val="center"/>
              <w:rPr>
                <w:rFonts w:eastAsia="宋体"/>
                <w:color w:val="000000" w:themeColor="text1"/>
                <w:kern w:val="0"/>
                <w:szCs w:val="20"/>
                <w:lang w:eastAsia="en-US" w:bidi="ar"/>
                <w14:textFill>
                  <w14:solidFill>
                    <w14:schemeClr w14:val="tx1"/>
                  </w14:solidFill>
                </w14:textFill>
              </w:rPr>
            </w:pPr>
            <w:r>
              <w:rPr>
                <w:rFonts w:eastAsia="宋体"/>
                <w:color w:val="000000" w:themeColor="text1"/>
                <w:sz w:val="20"/>
                <w:szCs w:val="20"/>
                <w14:textFill>
                  <w14:solidFill>
                    <w14:schemeClr w14:val="tx1"/>
                  </w14:solidFill>
                </w14:textFill>
              </w:rPr>
              <w:t>3700</w:t>
            </w:r>
          </w:p>
        </w:tc>
        <w:tc>
          <w:tcPr>
            <w:tcW w:w="992" w:type="dxa"/>
            <w:tcBorders>
              <w:tl2br w:val="nil"/>
              <w:tr2bl w:val="nil"/>
            </w:tcBorders>
          </w:tcPr>
          <w:p w14:paraId="04388435">
            <w:pPr>
              <w:kinsoku w:val="0"/>
              <w:autoSpaceDE w:val="0"/>
              <w:autoSpaceDN w:val="0"/>
              <w:adjustRightInd w:val="0"/>
              <w:snapToGrid w:val="0"/>
              <w:spacing w:before="78" w:line="228" w:lineRule="auto"/>
              <w:ind w:left="10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559" w:type="dxa"/>
            <w:gridSpan w:val="3"/>
            <w:tcBorders>
              <w:tl2br w:val="nil"/>
              <w:tr2bl w:val="nil"/>
            </w:tcBorders>
          </w:tcPr>
          <w:p w14:paraId="3A9E3D9E">
            <w:pPr>
              <w:kinsoku w:val="0"/>
              <w:autoSpaceDE w:val="0"/>
              <w:autoSpaceDN w:val="0"/>
              <w:adjustRightInd w:val="0"/>
              <w:snapToGrid w:val="0"/>
              <w:spacing w:before="78" w:line="228" w:lineRule="auto"/>
              <w:ind w:left="611"/>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不超标</w:t>
            </w:r>
          </w:p>
        </w:tc>
        <w:tc>
          <w:tcPr>
            <w:tcW w:w="1418" w:type="dxa"/>
            <w:tcBorders>
              <w:tl2br w:val="nil"/>
              <w:tr2bl w:val="nil"/>
            </w:tcBorders>
            <w:vAlign w:val="top"/>
          </w:tcPr>
          <w:p w14:paraId="29BF513D">
            <w:pPr>
              <w:widowControl/>
              <w:kinsoku w:val="0"/>
              <w:autoSpaceDE w:val="0"/>
              <w:autoSpaceDN w:val="0"/>
              <w:adjustRightInd w:val="0"/>
              <w:snapToGrid w:val="0"/>
              <w:spacing w:before="55" w:line="195" w:lineRule="auto"/>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14:textFill>
                  <w14:solidFill>
                    <w14:schemeClr w14:val="tx1"/>
                  </w14:solidFill>
                </w14:textFill>
              </w:rPr>
              <w:t>0</w:t>
            </w:r>
          </w:p>
        </w:tc>
      </w:tr>
    </w:tbl>
    <w:p w14:paraId="7FE83FD8">
      <w:pPr>
        <w:spacing w:line="228" w:lineRule="auto"/>
        <w:rPr>
          <w:rFonts w:eastAsia="宋体"/>
          <w:color w:val="000000" w:themeColor="text1"/>
          <w:sz w:val="20"/>
          <w:szCs w:val="20"/>
          <w14:textFill>
            <w14:solidFill>
              <w14:schemeClr w14:val="tx1"/>
            </w14:solidFill>
          </w14:textFill>
        </w:rPr>
        <w:sectPr>
          <w:footerReference r:id="rId16" w:type="default"/>
          <w:pgSz w:w="11906" w:h="16839"/>
          <w:pgMar w:top="1431" w:right="1524" w:bottom="958" w:left="1524" w:header="0" w:footer="694" w:gutter="0"/>
          <w:cols w:space="720" w:num="1"/>
        </w:sectPr>
      </w:pPr>
    </w:p>
    <w:p w14:paraId="129B5E38">
      <w:pPr>
        <w:kinsoku w:val="0"/>
        <w:autoSpaceDE w:val="0"/>
        <w:autoSpaceDN w:val="0"/>
        <w:adjustRightInd w:val="0"/>
        <w:snapToGrid w:val="0"/>
        <w:spacing w:line="268" w:lineRule="auto"/>
        <w:jc w:val="left"/>
        <w:textAlignment w:val="baseline"/>
        <w:rPr>
          <w:rFonts w:eastAsia="宋体"/>
          <w:snapToGrid w:val="0"/>
          <w:color w:val="000000" w:themeColor="text1"/>
          <w:kern w:val="0"/>
          <w:szCs w:val="21"/>
          <w:lang w:eastAsia="en-US"/>
          <w14:textFill>
            <w14:solidFill>
              <w14:schemeClr w14:val="tx1"/>
            </w14:solidFill>
          </w14:textFill>
        </w:rPr>
      </w:pPr>
      <w:r>
        <w:rPr>
          <w:color w:val="000000" w:themeColor="text1"/>
          <w14:textFill>
            <w14:solidFill>
              <w14:schemeClr w14:val="tx1"/>
            </w14:solidFill>
          </w14:textFill>
        </w:rPr>
        <w:drawing>
          <wp:inline distT="0" distB="0" distL="114300" distR="114300">
            <wp:extent cx="5647055" cy="3103245"/>
            <wp:effectExtent l="0" t="0" r="10795" b="1905"/>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80"/>
                    <a:stretch>
                      <a:fillRect/>
                    </a:stretch>
                  </pic:blipFill>
                  <pic:spPr>
                    <a:xfrm>
                      <a:off x="0" y="0"/>
                      <a:ext cx="5647055" cy="3103245"/>
                    </a:xfrm>
                    <a:prstGeom prst="rect">
                      <a:avLst/>
                    </a:prstGeom>
                    <a:noFill/>
                    <a:ln>
                      <a:noFill/>
                    </a:ln>
                  </pic:spPr>
                </pic:pic>
              </a:graphicData>
            </a:graphic>
          </wp:inline>
        </w:drawing>
      </w:r>
    </w:p>
    <w:p w14:paraId="6D48ED84">
      <w:pPr>
        <w:pStyle w:val="7"/>
        <w:kinsoku w:val="0"/>
        <w:autoSpaceDE w:val="0"/>
        <w:autoSpaceDN w:val="0"/>
        <w:ind w:firstLine="11"/>
        <w:textAlignment w:val="baseline"/>
        <w:rPr>
          <w:color w:val="000000" w:themeColor="text1"/>
          <w14:textFill>
            <w14:solidFill>
              <w14:schemeClr w14:val="tx1"/>
            </w14:solidFill>
          </w14:textFill>
        </w:rPr>
      </w:pPr>
      <w:r>
        <w:rPr>
          <w:color w:val="000000" w:themeColor="text1"/>
          <w14:textFill>
            <w14:solidFill>
              <w14:schemeClr w14:val="tx1"/>
            </w14:solidFill>
          </w14:textFill>
        </w:rPr>
        <w:t xml:space="preserve">图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图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氨气轴线最大浓度-距离曲线图</w:t>
      </w:r>
    </w:p>
    <w:p w14:paraId="7FD8FED7">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（2）硫酸铵泄露后受热分解产生SO</w:t>
      </w:r>
      <w:r>
        <w:rPr>
          <w:rFonts w:cs="Times New Roman"/>
          <w:color w:val="000000" w:themeColor="text1"/>
          <w:spacing w:val="-2"/>
          <w:kern w:val="0"/>
          <w:position w:val="-1"/>
          <w:sz w:val="15"/>
          <w:szCs w:val="15"/>
          <w14:textFill>
            <w14:solidFill>
              <w14:schemeClr w14:val="tx1"/>
            </w14:solidFill>
          </w14:textFill>
        </w:rPr>
        <w:t>2</w:t>
      </w:r>
      <w:r>
        <w:rPr>
          <w:rFonts w:cs="Times New Roman"/>
          <w:color w:val="000000" w:themeColor="text1"/>
          <w:spacing w:val="-2"/>
          <w:kern w:val="0"/>
          <w:szCs w:val="24"/>
          <w14:textFill>
            <w14:solidFill>
              <w14:schemeClr w14:val="tx1"/>
            </w14:solidFill>
          </w14:textFill>
        </w:rPr>
        <w:t>影响预测结果</w:t>
      </w:r>
    </w:p>
    <w:p w14:paraId="2763D7D9">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事故源项及事故后果基本信息表（最不利气象）</w:t>
      </w:r>
    </w:p>
    <w:tbl>
      <w:tblPr>
        <w:tblStyle w:val="171"/>
        <w:tblW w:w="8842" w:type="dxa"/>
        <w:tblInd w:w="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0"/>
        <w:gridCol w:w="712"/>
        <w:gridCol w:w="949"/>
        <w:gridCol w:w="1325"/>
        <w:gridCol w:w="1053"/>
        <w:gridCol w:w="702"/>
        <w:gridCol w:w="1958"/>
        <w:gridCol w:w="1583"/>
      </w:tblGrid>
      <w:tr w14:paraId="30C84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8842" w:type="dxa"/>
            <w:gridSpan w:val="8"/>
            <w:tcBorders>
              <w:top w:val="single" w:color="000000" w:sz="6" w:space="0"/>
              <w:left w:val="single" w:color="000000" w:sz="6" w:space="0"/>
              <w:right w:val="single" w:color="000000" w:sz="6" w:space="0"/>
            </w:tcBorders>
          </w:tcPr>
          <w:p w14:paraId="79232AD0">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风险事故情形分析</w:t>
            </w:r>
          </w:p>
        </w:tc>
      </w:tr>
      <w:tr w14:paraId="0CE52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72" w:type="dxa"/>
            <w:gridSpan w:val="2"/>
            <w:tcBorders>
              <w:left w:val="single" w:color="000000" w:sz="6" w:space="0"/>
            </w:tcBorders>
          </w:tcPr>
          <w:p w14:paraId="2ADCA702">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代表性风险事故情形描述</w:t>
            </w:r>
          </w:p>
        </w:tc>
        <w:tc>
          <w:tcPr>
            <w:tcW w:w="7570" w:type="dxa"/>
            <w:gridSpan w:val="6"/>
            <w:tcBorders>
              <w:right w:val="single" w:color="000000" w:sz="6" w:space="0"/>
            </w:tcBorders>
          </w:tcPr>
          <w:p w14:paraId="3FC2BDA7">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硫酸铵泄漏后，因火灾受热分解产生SO</w:t>
            </w:r>
            <w:r>
              <w:rPr>
                <w:rFonts w:eastAsia="宋体"/>
                <w:snapToGrid w:val="0"/>
                <w:color w:val="000000" w:themeColor="text1"/>
                <w:spacing w:val="8"/>
                <w:kern w:val="0"/>
                <w:szCs w:val="20"/>
                <w:vertAlign w:val="subscript"/>
                <w14:textFill>
                  <w14:solidFill>
                    <w14:schemeClr w14:val="tx1"/>
                  </w14:solidFill>
                </w14:textFill>
              </w:rPr>
              <w:t>2</w:t>
            </w:r>
          </w:p>
        </w:tc>
      </w:tr>
      <w:tr w14:paraId="1996B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272" w:type="dxa"/>
            <w:gridSpan w:val="2"/>
            <w:tcBorders>
              <w:left w:val="single" w:color="000000" w:sz="6" w:space="0"/>
            </w:tcBorders>
          </w:tcPr>
          <w:p w14:paraId="4BE2DA1C">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环境风险类型</w:t>
            </w:r>
          </w:p>
        </w:tc>
        <w:tc>
          <w:tcPr>
            <w:tcW w:w="7570" w:type="dxa"/>
            <w:gridSpan w:val="6"/>
            <w:tcBorders>
              <w:right w:val="single" w:color="000000" w:sz="6" w:space="0"/>
            </w:tcBorders>
          </w:tcPr>
          <w:p w14:paraId="4E67CCEC">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次生事故</w:t>
            </w:r>
          </w:p>
        </w:tc>
      </w:tr>
      <w:tr w14:paraId="6E9A1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272" w:type="dxa"/>
            <w:gridSpan w:val="2"/>
            <w:tcBorders>
              <w:left w:val="single" w:color="000000" w:sz="6" w:space="0"/>
            </w:tcBorders>
          </w:tcPr>
          <w:p w14:paraId="631F7E18">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泄漏设备类型</w:t>
            </w:r>
          </w:p>
        </w:tc>
        <w:tc>
          <w:tcPr>
            <w:tcW w:w="949" w:type="dxa"/>
          </w:tcPr>
          <w:p w14:paraId="72682C41">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储存设施</w:t>
            </w:r>
          </w:p>
        </w:tc>
        <w:tc>
          <w:tcPr>
            <w:tcW w:w="2378" w:type="dxa"/>
            <w:gridSpan w:val="2"/>
          </w:tcPr>
          <w:p w14:paraId="088EC010">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操作温度/℃</w:t>
            </w:r>
          </w:p>
        </w:tc>
        <w:tc>
          <w:tcPr>
            <w:tcW w:w="702" w:type="dxa"/>
          </w:tcPr>
          <w:p w14:paraId="0D35C515">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常温</w:t>
            </w:r>
          </w:p>
        </w:tc>
        <w:tc>
          <w:tcPr>
            <w:tcW w:w="1958" w:type="dxa"/>
          </w:tcPr>
          <w:p w14:paraId="6F07CA3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操作压力/Pa</w:t>
            </w:r>
          </w:p>
        </w:tc>
        <w:tc>
          <w:tcPr>
            <w:tcW w:w="1583" w:type="dxa"/>
            <w:tcBorders>
              <w:right w:val="single" w:color="000000" w:sz="6" w:space="0"/>
            </w:tcBorders>
          </w:tcPr>
          <w:p w14:paraId="7291EB2C">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w:t>
            </w:r>
          </w:p>
        </w:tc>
      </w:tr>
      <w:tr w14:paraId="32428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272" w:type="dxa"/>
            <w:gridSpan w:val="2"/>
            <w:tcBorders>
              <w:left w:val="single" w:color="000000" w:sz="6" w:space="0"/>
            </w:tcBorders>
          </w:tcPr>
          <w:p w14:paraId="11085D16">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泄漏危险物质</w:t>
            </w:r>
          </w:p>
        </w:tc>
        <w:tc>
          <w:tcPr>
            <w:tcW w:w="949" w:type="dxa"/>
          </w:tcPr>
          <w:p w14:paraId="44B8826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SO</w:t>
            </w:r>
            <w:r>
              <w:rPr>
                <w:rFonts w:eastAsia="宋体"/>
                <w:snapToGrid w:val="0"/>
                <w:color w:val="000000" w:themeColor="text1"/>
                <w:spacing w:val="8"/>
                <w:kern w:val="0"/>
                <w:szCs w:val="20"/>
                <w:vertAlign w:val="subscript"/>
                <w:lang w:eastAsia="en-US"/>
                <w14:textFill>
                  <w14:solidFill>
                    <w14:schemeClr w14:val="tx1"/>
                  </w14:solidFill>
                </w14:textFill>
              </w:rPr>
              <w:t>2</w:t>
            </w:r>
          </w:p>
        </w:tc>
        <w:tc>
          <w:tcPr>
            <w:tcW w:w="2378" w:type="dxa"/>
            <w:gridSpan w:val="2"/>
          </w:tcPr>
          <w:p w14:paraId="22F44409">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最大存在量/t</w:t>
            </w:r>
          </w:p>
        </w:tc>
        <w:tc>
          <w:tcPr>
            <w:tcW w:w="702" w:type="dxa"/>
          </w:tcPr>
          <w:p w14:paraId="6D897ECF">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w:t>
            </w:r>
          </w:p>
        </w:tc>
        <w:tc>
          <w:tcPr>
            <w:tcW w:w="1958" w:type="dxa"/>
          </w:tcPr>
          <w:p w14:paraId="7FDA037D">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泄漏孔径/mm</w:t>
            </w:r>
          </w:p>
        </w:tc>
        <w:tc>
          <w:tcPr>
            <w:tcW w:w="1583" w:type="dxa"/>
            <w:tcBorders>
              <w:right w:val="single" w:color="000000" w:sz="6" w:space="0"/>
            </w:tcBorders>
          </w:tcPr>
          <w:p w14:paraId="671167F6">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w:t>
            </w:r>
          </w:p>
        </w:tc>
      </w:tr>
      <w:tr w14:paraId="240B4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272" w:type="dxa"/>
            <w:gridSpan w:val="2"/>
            <w:tcBorders>
              <w:left w:val="single" w:color="000000" w:sz="6" w:space="0"/>
            </w:tcBorders>
          </w:tcPr>
          <w:p w14:paraId="2D4140AE">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泄漏速率/(kg/s)</w:t>
            </w:r>
          </w:p>
        </w:tc>
        <w:tc>
          <w:tcPr>
            <w:tcW w:w="949" w:type="dxa"/>
          </w:tcPr>
          <w:p w14:paraId="1EFE0310">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0.0404</w:t>
            </w:r>
          </w:p>
        </w:tc>
        <w:tc>
          <w:tcPr>
            <w:tcW w:w="2378" w:type="dxa"/>
            <w:gridSpan w:val="2"/>
          </w:tcPr>
          <w:p w14:paraId="5C5A7B6C">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泄漏时间/min</w:t>
            </w:r>
          </w:p>
        </w:tc>
        <w:tc>
          <w:tcPr>
            <w:tcW w:w="702" w:type="dxa"/>
          </w:tcPr>
          <w:p w14:paraId="431F185D">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10</w:t>
            </w:r>
          </w:p>
        </w:tc>
        <w:tc>
          <w:tcPr>
            <w:tcW w:w="1958" w:type="dxa"/>
          </w:tcPr>
          <w:p w14:paraId="763D10DF">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泄漏量/kg</w:t>
            </w:r>
          </w:p>
        </w:tc>
        <w:tc>
          <w:tcPr>
            <w:tcW w:w="1583" w:type="dxa"/>
            <w:tcBorders>
              <w:right w:val="single" w:color="000000" w:sz="6" w:space="0"/>
            </w:tcBorders>
          </w:tcPr>
          <w:p w14:paraId="2CEA11F1">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50</w:t>
            </w:r>
          </w:p>
        </w:tc>
      </w:tr>
      <w:tr w14:paraId="36BA2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272" w:type="dxa"/>
            <w:gridSpan w:val="2"/>
            <w:tcBorders>
              <w:left w:val="single" w:color="000000" w:sz="6" w:space="0"/>
            </w:tcBorders>
          </w:tcPr>
          <w:p w14:paraId="4327FD9D">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泄漏高度/m</w:t>
            </w:r>
          </w:p>
        </w:tc>
        <w:tc>
          <w:tcPr>
            <w:tcW w:w="949" w:type="dxa"/>
          </w:tcPr>
          <w:p w14:paraId="23CF4DF6">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0.1</w:t>
            </w:r>
          </w:p>
        </w:tc>
        <w:tc>
          <w:tcPr>
            <w:tcW w:w="2378" w:type="dxa"/>
            <w:gridSpan w:val="2"/>
          </w:tcPr>
          <w:p w14:paraId="3E895788">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泄漏液体蒸发量/kg</w:t>
            </w:r>
          </w:p>
        </w:tc>
        <w:tc>
          <w:tcPr>
            <w:tcW w:w="702" w:type="dxa"/>
          </w:tcPr>
          <w:p w14:paraId="0054C8FA">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w:t>
            </w:r>
          </w:p>
        </w:tc>
        <w:tc>
          <w:tcPr>
            <w:tcW w:w="1958" w:type="dxa"/>
          </w:tcPr>
          <w:p w14:paraId="600EEF8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泄漏频率</w:t>
            </w:r>
          </w:p>
        </w:tc>
        <w:tc>
          <w:tcPr>
            <w:tcW w:w="1583" w:type="dxa"/>
            <w:tcBorders>
              <w:right w:val="single" w:color="000000" w:sz="6" w:space="0"/>
            </w:tcBorders>
          </w:tcPr>
          <w:p w14:paraId="2C06ED05">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1×10-5/年</w:t>
            </w:r>
          </w:p>
        </w:tc>
      </w:tr>
      <w:tr w14:paraId="4D167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8842" w:type="dxa"/>
            <w:gridSpan w:val="8"/>
            <w:tcBorders>
              <w:left w:val="single" w:color="000000" w:sz="6" w:space="0"/>
              <w:right w:val="single" w:color="000000" w:sz="6" w:space="0"/>
            </w:tcBorders>
          </w:tcPr>
          <w:p w14:paraId="30DC963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事故后果预测</w:t>
            </w:r>
          </w:p>
        </w:tc>
      </w:tr>
      <w:tr w14:paraId="1FE0E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60" w:type="dxa"/>
            <w:vMerge w:val="restart"/>
            <w:tcBorders>
              <w:left w:val="single" w:color="000000" w:sz="6" w:space="0"/>
            </w:tcBorders>
          </w:tcPr>
          <w:p w14:paraId="321D339E">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大气</w:t>
            </w:r>
          </w:p>
        </w:tc>
        <w:tc>
          <w:tcPr>
            <w:tcW w:w="712" w:type="dxa"/>
          </w:tcPr>
          <w:p w14:paraId="214942D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危险物质</w:t>
            </w:r>
          </w:p>
        </w:tc>
        <w:tc>
          <w:tcPr>
            <w:tcW w:w="7570" w:type="dxa"/>
            <w:gridSpan w:val="6"/>
            <w:tcBorders>
              <w:right w:val="single" w:color="000000" w:sz="6" w:space="0"/>
            </w:tcBorders>
          </w:tcPr>
          <w:p w14:paraId="5F3A9B3E">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大气环境影响</w:t>
            </w:r>
          </w:p>
        </w:tc>
      </w:tr>
      <w:tr w14:paraId="4BC50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560" w:type="dxa"/>
            <w:vMerge w:val="continue"/>
            <w:tcBorders>
              <w:left w:val="single" w:color="000000" w:sz="6" w:space="0"/>
            </w:tcBorders>
          </w:tcPr>
          <w:p w14:paraId="7F45A3A7">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712" w:type="dxa"/>
            <w:vMerge w:val="restart"/>
          </w:tcPr>
          <w:p w14:paraId="6EECC416">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SO</w:t>
            </w:r>
            <w:r>
              <w:rPr>
                <w:rFonts w:eastAsia="宋体"/>
                <w:snapToGrid w:val="0"/>
                <w:color w:val="000000" w:themeColor="text1"/>
                <w:spacing w:val="8"/>
                <w:kern w:val="0"/>
                <w:szCs w:val="20"/>
                <w:vertAlign w:val="subscript"/>
                <w:lang w:eastAsia="en-US"/>
                <w14:textFill>
                  <w14:solidFill>
                    <w14:schemeClr w14:val="tx1"/>
                  </w14:solidFill>
                </w14:textFill>
              </w:rPr>
              <w:t>2</w:t>
            </w:r>
          </w:p>
        </w:tc>
        <w:tc>
          <w:tcPr>
            <w:tcW w:w="2274" w:type="dxa"/>
            <w:gridSpan w:val="2"/>
          </w:tcPr>
          <w:p w14:paraId="4D3C0708">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指标</w:t>
            </w:r>
          </w:p>
        </w:tc>
        <w:tc>
          <w:tcPr>
            <w:tcW w:w="1755" w:type="dxa"/>
            <w:gridSpan w:val="2"/>
          </w:tcPr>
          <w:p w14:paraId="3CB46CDD">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浓度值/（mg/m</w:t>
            </w:r>
            <w:r>
              <w:rPr>
                <w:rFonts w:eastAsia="宋体"/>
                <w:snapToGrid w:val="0"/>
                <w:color w:val="000000" w:themeColor="text1"/>
                <w:spacing w:val="8"/>
                <w:kern w:val="0"/>
                <w:szCs w:val="20"/>
                <w:vertAlign w:val="superscript"/>
                <w:lang w:eastAsia="en-US"/>
                <w14:textFill>
                  <w14:solidFill>
                    <w14:schemeClr w14:val="tx1"/>
                  </w14:solidFill>
                </w14:textFill>
              </w:rPr>
              <w:t>3</w:t>
            </w:r>
            <w:r>
              <w:rPr>
                <w:rFonts w:eastAsia="宋体"/>
                <w:snapToGrid w:val="0"/>
                <w:color w:val="000000" w:themeColor="text1"/>
                <w:spacing w:val="8"/>
                <w:kern w:val="0"/>
                <w:szCs w:val="20"/>
                <w:lang w:eastAsia="en-US"/>
                <w14:textFill>
                  <w14:solidFill>
                    <w14:schemeClr w14:val="tx1"/>
                  </w14:solidFill>
                </w14:textFill>
              </w:rPr>
              <w:t>）</w:t>
            </w:r>
          </w:p>
        </w:tc>
        <w:tc>
          <w:tcPr>
            <w:tcW w:w="1958" w:type="dxa"/>
          </w:tcPr>
          <w:p w14:paraId="4A73F56A">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最远影响距离/m</w:t>
            </w:r>
          </w:p>
        </w:tc>
        <w:tc>
          <w:tcPr>
            <w:tcW w:w="1583" w:type="dxa"/>
            <w:tcBorders>
              <w:right w:val="single" w:color="000000" w:sz="6" w:space="0"/>
            </w:tcBorders>
          </w:tcPr>
          <w:p w14:paraId="6E5DD01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到达时间/min</w:t>
            </w:r>
          </w:p>
        </w:tc>
      </w:tr>
      <w:tr w14:paraId="04D41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60" w:type="dxa"/>
            <w:vMerge w:val="continue"/>
            <w:tcBorders>
              <w:left w:val="single" w:color="000000" w:sz="6" w:space="0"/>
            </w:tcBorders>
          </w:tcPr>
          <w:p w14:paraId="237063CB">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712" w:type="dxa"/>
            <w:vMerge w:val="continue"/>
          </w:tcPr>
          <w:p w14:paraId="615842CC">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2274" w:type="dxa"/>
            <w:gridSpan w:val="2"/>
          </w:tcPr>
          <w:p w14:paraId="7C5501AD">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大气毒性终点浓度-1</w:t>
            </w:r>
          </w:p>
        </w:tc>
        <w:tc>
          <w:tcPr>
            <w:tcW w:w="1755" w:type="dxa"/>
            <w:gridSpan w:val="2"/>
          </w:tcPr>
          <w:p w14:paraId="2C664D7F">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79</w:t>
            </w:r>
          </w:p>
        </w:tc>
        <w:tc>
          <w:tcPr>
            <w:tcW w:w="3541" w:type="dxa"/>
            <w:gridSpan w:val="2"/>
            <w:tcBorders>
              <w:right w:val="single" w:color="000000" w:sz="6" w:space="0"/>
            </w:tcBorders>
          </w:tcPr>
          <w:p w14:paraId="7C14D47D">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此阈值及以上，无对应位置，因计算浓度均小于此阈值</w:t>
            </w:r>
          </w:p>
        </w:tc>
      </w:tr>
      <w:tr w14:paraId="588B5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560" w:type="dxa"/>
            <w:vMerge w:val="continue"/>
            <w:tcBorders>
              <w:left w:val="single" w:color="000000" w:sz="6" w:space="0"/>
            </w:tcBorders>
          </w:tcPr>
          <w:p w14:paraId="7C28B2EA">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p>
        </w:tc>
        <w:tc>
          <w:tcPr>
            <w:tcW w:w="712" w:type="dxa"/>
            <w:vMerge w:val="continue"/>
          </w:tcPr>
          <w:p w14:paraId="42C23AE4">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p>
        </w:tc>
        <w:tc>
          <w:tcPr>
            <w:tcW w:w="2274" w:type="dxa"/>
            <w:gridSpan w:val="2"/>
          </w:tcPr>
          <w:p w14:paraId="722591D1">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大气毒性终点浓度-2</w:t>
            </w:r>
          </w:p>
        </w:tc>
        <w:tc>
          <w:tcPr>
            <w:tcW w:w="1755" w:type="dxa"/>
            <w:gridSpan w:val="2"/>
          </w:tcPr>
          <w:p w14:paraId="6088272C">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2</w:t>
            </w:r>
          </w:p>
        </w:tc>
        <w:tc>
          <w:tcPr>
            <w:tcW w:w="1958" w:type="dxa"/>
          </w:tcPr>
          <w:p w14:paraId="00986EC1">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1025</w:t>
            </w:r>
          </w:p>
        </w:tc>
        <w:tc>
          <w:tcPr>
            <w:tcW w:w="1583" w:type="dxa"/>
            <w:tcBorders>
              <w:right w:val="single" w:color="000000" w:sz="6" w:space="0"/>
            </w:tcBorders>
          </w:tcPr>
          <w:p w14:paraId="2E6BC4D7">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26.1</w:t>
            </w:r>
          </w:p>
        </w:tc>
      </w:tr>
      <w:tr w14:paraId="1EA39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60" w:type="dxa"/>
            <w:vMerge w:val="continue"/>
            <w:tcBorders>
              <w:left w:val="single" w:color="000000" w:sz="6" w:space="0"/>
            </w:tcBorders>
          </w:tcPr>
          <w:p w14:paraId="5157D197">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712" w:type="dxa"/>
            <w:vMerge w:val="continue"/>
          </w:tcPr>
          <w:p w14:paraId="40932366">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2274" w:type="dxa"/>
            <w:gridSpan w:val="2"/>
          </w:tcPr>
          <w:p w14:paraId="023631C9">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敏感目标名称</w:t>
            </w:r>
          </w:p>
        </w:tc>
        <w:tc>
          <w:tcPr>
            <w:tcW w:w="1053" w:type="dxa"/>
          </w:tcPr>
          <w:p w14:paraId="374AAA61">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距离（m）</w:t>
            </w:r>
          </w:p>
        </w:tc>
        <w:tc>
          <w:tcPr>
            <w:tcW w:w="702" w:type="dxa"/>
          </w:tcPr>
          <w:p w14:paraId="64C4A9EA">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超标时间/min</w:t>
            </w:r>
          </w:p>
        </w:tc>
        <w:tc>
          <w:tcPr>
            <w:tcW w:w="1958" w:type="dxa"/>
          </w:tcPr>
          <w:p w14:paraId="1D3022F6">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超标持续时间/min</w:t>
            </w:r>
          </w:p>
        </w:tc>
        <w:tc>
          <w:tcPr>
            <w:tcW w:w="1583" w:type="dxa"/>
            <w:tcBorders>
              <w:right w:val="single" w:color="000000" w:sz="6" w:space="0"/>
            </w:tcBorders>
          </w:tcPr>
          <w:p w14:paraId="0E36D461">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最大浓度/(mg/m</w:t>
            </w:r>
            <w:r>
              <w:rPr>
                <w:rFonts w:eastAsia="宋体"/>
                <w:snapToGrid w:val="0"/>
                <w:color w:val="000000" w:themeColor="text1"/>
                <w:spacing w:val="8"/>
                <w:kern w:val="0"/>
                <w:szCs w:val="20"/>
                <w:vertAlign w:val="superscript"/>
                <w:lang w:eastAsia="en-US"/>
                <w14:textFill>
                  <w14:solidFill>
                    <w14:schemeClr w14:val="tx1"/>
                  </w14:solidFill>
                </w14:textFill>
              </w:rPr>
              <w:t>3</w:t>
            </w:r>
            <w:r>
              <w:rPr>
                <w:rFonts w:eastAsia="宋体"/>
                <w:snapToGrid w:val="0"/>
                <w:color w:val="000000" w:themeColor="text1"/>
                <w:spacing w:val="8"/>
                <w:kern w:val="0"/>
                <w:szCs w:val="20"/>
                <w:lang w:eastAsia="en-US"/>
                <w14:textFill>
                  <w14:solidFill>
                    <w14:schemeClr w14:val="tx1"/>
                  </w14:solidFill>
                </w14:textFill>
              </w:rPr>
              <w:t>)</w:t>
            </w:r>
          </w:p>
        </w:tc>
      </w:tr>
      <w:tr w14:paraId="4370D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560" w:type="dxa"/>
            <w:vMerge w:val="continue"/>
            <w:tcBorders>
              <w:left w:val="single" w:color="000000" w:sz="6" w:space="0"/>
            </w:tcBorders>
          </w:tcPr>
          <w:p w14:paraId="65DCFF4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712" w:type="dxa"/>
            <w:vMerge w:val="continue"/>
          </w:tcPr>
          <w:p w14:paraId="1A16DAB0">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2274" w:type="dxa"/>
            <w:gridSpan w:val="2"/>
            <w:vAlign w:val="center"/>
          </w:tcPr>
          <w:p w14:paraId="1F7C258D">
            <w:pPr>
              <w:widowControl/>
              <w:jc w:val="center"/>
              <w:textAlignment w:val="center"/>
              <w:rPr>
                <w:rFonts w:eastAsia="宋体"/>
                <w:snapToGrid w:val="0"/>
                <w:color w:val="000000" w:themeColor="text1"/>
                <w:spacing w:val="8"/>
                <w:kern w:val="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集贤县</w:t>
            </w:r>
          </w:p>
        </w:tc>
        <w:tc>
          <w:tcPr>
            <w:tcW w:w="1053" w:type="dxa"/>
            <w:vAlign w:val="center"/>
          </w:tcPr>
          <w:p w14:paraId="0E5C5CB1">
            <w:pPr>
              <w:widowControl/>
              <w:jc w:val="center"/>
              <w:textAlignment w:val="center"/>
              <w:rPr>
                <w:rFonts w:eastAsia="宋体"/>
                <w:snapToGrid w:val="0"/>
                <w:color w:val="000000" w:themeColor="text1"/>
                <w:spacing w:val="8"/>
                <w:kern w:val="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1400</w:t>
            </w:r>
          </w:p>
        </w:tc>
        <w:tc>
          <w:tcPr>
            <w:tcW w:w="702" w:type="dxa"/>
          </w:tcPr>
          <w:p w14:paraId="16D67082">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532004E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04589BD2">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096F5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560" w:type="dxa"/>
            <w:vMerge w:val="continue"/>
            <w:tcBorders>
              <w:left w:val="single" w:color="000000" w:sz="6" w:space="0"/>
            </w:tcBorders>
          </w:tcPr>
          <w:p w14:paraId="42A1CC92">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712" w:type="dxa"/>
            <w:vMerge w:val="continue"/>
          </w:tcPr>
          <w:p w14:paraId="74872C40">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2274" w:type="dxa"/>
            <w:gridSpan w:val="2"/>
            <w:vAlign w:val="center"/>
          </w:tcPr>
          <w:p w14:paraId="06B08854">
            <w:pPr>
              <w:widowControl/>
              <w:jc w:val="center"/>
              <w:textAlignment w:val="center"/>
              <w:rPr>
                <w:rFonts w:eastAsia="宋体"/>
                <w:snapToGrid w:val="0"/>
                <w:color w:val="000000" w:themeColor="text1"/>
                <w:spacing w:val="8"/>
                <w:kern w:val="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新发村</w:t>
            </w:r>
          </w:p>
        </w:tc>
        <w:tc>
          <w:tcPr>
            <w:tcW w:w="1053" w:type="dxa"/>
            <w:vAlign w:val="center"/>
          </w:tcPr>
          <w:p w14:paraId="533759F4">
            <w:pPr>
              <w:widowControl/>
              <w:jc w:val="center"/>
              <w:textAlignment w:val="center"/>
              <w:rPr>
                <w:rFonts w:eastAsia="宋体"/>
                <w:snapToGrid w:val="0"/>
                <w:color w:val="000000" w:themeColor="text1"/>
                <w:spacing w:val="8"/>
                <w:kern w:val="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3700</w:t>
            </w:r>
          </w:p>
        </w:tc>
        <w:tc>
          <w:tcPr>
            <w:tcW w:w="702" w:type="dxa"/>
          </w:tcPr>
          <w:p w14:paraId="196BA5C9">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31B5FD12">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3656A4DB">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2951A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560" w:type="dxa"/>
            <w:vMerge w:val="continue"/>
            <w:tcBorders>
              <w:left w:val="single" w:color="000000" w:sz="6" w:space="0"/>
            </w:tcBorders>
          </w:tcPr>
          <w:p w14:paraId="62B6026E">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712" w:type="dxa"/>
            <w:vMerge w:val="continue"/>
          </w:tcPr>
          <w:p w14:paraId="6FDC0AFC">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p>
        </w:tc>
        <w:tc>
          <w:tcPr>
            <w:tcW w:w="2274" w:type="dxa"/>
            <w:gridSpan w:val="2"/>
            <w:vAlign w:val="center"/>
          </w:tcPr>
          <w:p w14:paraId="175E23F4">
            <w:pPr>
              <w:widowControl/>
              <w:jc w:val="center"/>
              <w:textAlignment w:val="center"/>
              <w:rPr>
                <w:rFonts w:eastAsia="宋体"/>
                <w:snapToGrid w:val="0"/>
                <w:color w:val="000000" w:themeColor="text1"/>
                <w:spacing w:val="8"/>
                <w:kern w:val="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九三村</w:t>
            </w:r>
          </w:p>
        </w:tc>
        <w:tc>
          <w:tcPr>
            <w:tcW w:w="1053" w:type="dxa"/>
            <w:vAlign w:val="center"/>
          </w:tcPr>
          <w:p w14:paraId="67F95094">
            <w:pPr>
              <w:widowControl/>
              <w:jc w:val="center"/>
              <w:textAlignment w:val="center"/>
              <w:rPr>
                <w:rFonts w:eastAsia="宋体"/>
                <w:snapToGrid w:val="0"/>
                <w:color w:val="000000" w:themeColor="text1"/>
                <w:spacing w:val="8"/>
                <w:kern w:val="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1800</w:t>
            </w:r>
          </w:p>
        </w:tc>
        <w:tc>
          <w:tcPr>
            <w:tcW w:w="702" w:type="dxa"/>
          </w:tcPr>
          <w:p w14:paraId="152EFED0">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048299B8">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0D84EA9A">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12DB8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560" w:type="dxa"/>
            <w:vMerge w:val="continue"/>
            <w:tcBorders>
              <w:left w:val="single" w:color="000000" w:sz="6" w:space="0"/>
            </w:tcBorders>
          </w:tcPr>
          <w:p w14:paraId="4B0A4090">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12" w:type="dxa"/>
            <w:vMerge w:val="continue"/>
          </w:tcPr>
          <w:p w14:paraId="2398B7B4">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274" w:type="dxa"/>
            <w:gridSpan w:val="2"/>
            <w:vAlign w:val="center"/>
          </w:tcPr>
          <w:p w14:paraId="26871590">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双鸭山市</w:t>
            </w:r>
          </w:p>
        </w:tc>
        <w:tc>
          <w:tcPr>
            <w:tcW w:w="1053" w:type="dxa"/>
            <w:vAlign w:val="center"/>
          </w:tcPr>
          <w:p w14:paraId="05B0AEA9">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4210</w:t>
            </w:r>
          </w:p>
        </w:tc>
        <w:tc>
          <w:tcPr>
            <w:tcW w:w="702" w:type="dxa"/>
          </w:tcPr>
          <w:p w14:paraId="25A2DA4A">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6C815309">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430C0147">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316D9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560" w:type="dxa"/>
            <w:vMerge w:val="continue"/>
            <w:tcBorders>
              <w:left w:val="single" w:color="000000" w:sz="6" w:space="0"/>
            </w:tcBorders>
          </w:tcPr>
          <w:p w14:paraId="7797662A">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12" w:type="dxa"/>
            <w:vMerge w:val="continue"/>
          </w:tcPr>
          <w:p w14:paraId="631B7F01">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274" w:type="dxa"/>
            <w:gridSpan w:val="2"/>
            <w:vAlign w:val="center"/>
          </w:tcPr>
          <w:p w14:paraId="6A90798F">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五四村</w:t>
            </w:r>
          </w:p>
        </w:tc>
        <w:tc>
          <w:tcPr>
            <w:tcW w:w="1053" w:type="dxa"/>
            <w:vAlign w:val="center"/>
          </w:tcPr>
          <w:p w14:paraId="66FD4CBF">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280</w:t>
            </w:r>
          </w:p>
        </w:tc>
        <w:tc>
          <w:tcPr>
            <w:tcW w:w="702" w:type="dxa"/>
          </w:tcPr>
          <w:p w14:paraId="4BF1C9EA">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56359A2D">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08468000">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3.29</w:t>
            </w:r>
            <w:r>
              <w:rPr>
                <w:rFonts w:eastAsia="宋体"/>
                <w:snapToGrid w:val="0"/>
                <w:color w:val="000000" w:themeColor="text1"/>
                <w:spacing w:val="8"/>
                <w:kern w:val="0"/>
                <w:szCs w:val="20"/>
                <w14:textFill>
                  <w14:solidFill>
                    <w14:schemeClr w14:val="tx1"/>
                  </w14:solidFill>
                </w14:textFill>
              </w:rPr>
              <w:t>×10</w:t>
            </w:r>
            <w:r>
              <w:rPr>
                <w:rFonts w:eastAsia="宋体"/>
                <w:snapToGrid w:val="0"/>
                <w:color w:val="000000" w:themeColor="text1"/>
                <w:spacing w:val="8"/>
                <w:kern w:val="0"/>
                <w:szCs w:val="20"/>
                <w:vertAlign w:val="superscript"/>
                <w14:textFill>
                  <w14:solidFill>
                    <w14:schemeClr w14:val="tx1"/>
                  </w14:solidFill>
                </w14:textFill>
              </w:rPr>
              <w:t>-</w:t>
            </w:r>
            <w:r>
              <w:rPr>
                <w:rFonts w:hint="eastAsia" w:eastAsia="宋体"/>
                <w:snapToGrid w:val="0"/>
                <w:color w:val="000000" w:themeColor="text1"/>
                <w:spacing w:val="8"/>
                <w:kern w:val="0"/>
                <w:szCs w:val="20"/>
                <w:vertAlign w:val="superscript"/>
                <w14:textFill>
                  <w14:solidFill>
                    <w14:schemeClr w14:val="tx1"/>
                  </w14:solidFill>
                </w14:textFill>
              </w:rPr>
              <w:t>8</w:t>
            </w:r>
          </w:p>
        </w:tc>
      </w:tr>
      <w:tr w14:paraId="14FD1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60" w:type="dxa"/>
            <w:vMerge w:val="continue"/>
            <w:tcBorders>
              <w:left w:val="single" w:color="000000" w:sz="6" w:space="0"/>
            </w:tcBorders>
          </w:tcPr>
          <w:p w14:paraId="41627374">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12" w:type="dxa"/>
            <w:vMerge w:val="continue"/>
          </w:tcPr>
          <w:p w14:paraId="71A227FA">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274" w:type="dxa"/>
            <w:gridSpan w:val="2"/>
            <w:vAlign w:val="center"/>
          </w:tcPr>
          <w:p w14:paraId="5E037DB1">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公立村</w:t>
            </w:r>
          </w:p>
        </w:tc>
        <w:tc>
          <w:tcPr>
            <w:tcW w:w="1053" w:type="dxa"/>
            <w:vAlign w:val="center"/>
          </w:tcPr>
          <w:p w14:paraId="1DBD59DA">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2000</w:t>
            </w:r>
          </w:p>
        </w:tc>
        <w:tc>
          <w:tcPr>
            <w:tcW w:w="702" w:type="dxa"/>
          </w:tcPr>
          <w:p w14:paraId="32BACF8F">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3BDE7630">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5A282621">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01648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560" w:type="dxa"/>
            <w:vMerge w:val="continue"/>
            <w:tcBorders>
              <w:left w:val="single" w:color="000000" w:sz="6" w:space="0"/>
            </w:tcBorders>
          </w:tcPr>
          <w:p w14:paraId="14307EAB">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12" w:type="dxa"/>
            <w:vMerge w:val="continue"/>
          </w:tcPr>
          <w:p w14:paraId="565B9424">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274" w:type="dxa"/>
            <w:gridSpan w:val="2"/>
            <w:vAlign w:val="center"/>
          </w:tcPr>
          <w:p w14:paraId="12E59D28">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开源村</w:t>
            </w:r>
          </w:p>
        </w:tc>
        <w:tc>
          <w:tcPr>
            <w:tcW w:w="1053" w:type="dxa"/>
            <w:vAlign w:val="center"/>
          </w:tcPr>
          <w:p w14:paraId="415E1347">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3870</w:t>
            </w:r>
          </w:p>
        </w:tc>
        <w:tc>
          <w:tcPr>
            <w:tcW w:w="702" w:type="dxa"/>
          </w:tcPr>
          <w:p w14:paraId="78983F46">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5362F125">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6DB7CB55">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3D782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560" w:type="dxa"/>
            <w:vMerge w:val="continue"/>
            <w:tcBorders>
              <w:left w:val="single" w:color="000000" w:sz="6" w:space="0"/>
            </w:tcBorders>
          </w:tcPr>
          <w:p w14:paraId="7D78915C">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12" w:type="dxa"/>
            <w:vMerge w:val="continue"/>
          </w:tcPr>
          <w:p w14:paraId="67288A2D">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274" w:type="dxa"/>
            <w:gridSpan w:val="2"/>
            <w:vAlign w:val="center"/>
          </w:tcPr>
          <w:p w14:paraId="464802E3">
            <w:pPr>
              <w:widowControl/>
              <w:jc w:val="center"/>
              <w:textAlignment w:val="center"/>
              <w:rPr>
                <w:rFonts w:eastAsia="宋体"/>
                <w:color w:val="000000" w:themeColor="text1"/>
                <w14:textFill>
                  <w14:solidFill>
                    <w14:schemeClr w14:val="tx1"/>
                  </w14:solidFill>
                </w14:textFill>
              </w:rPr>
            </w:pPr>
            <w:r>
              <w:rPr>
                <w:rFonts w:eastAsia="宋体"/>
                <w:color w:val="000000" w:themeColor="text1"/>
                <w:sz w:val="20"/>
                <w:szCs w:val="20"/>
                <w14:textFill>
                  <w14:solidFill>
                    <w14:schemeClr w14:val="tx1"/>
                  </w14:solidFill>
                </w14:textFill>
              </w:rPr>
              <w:t>中华村</w:t>
            </w:r>
          </w:p>
        </w:tc>
        <w:tc>
          <w:tcPr>
            <w:tcW w:w="1053" w:type="dxa"/>
            <w:vAlign w:val="center"/>
          </w:tcPr>
          <w:p w14:paraId="4F725D52">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4500</w:t>
            </w:r>
          </w:p>
        </w:tc>
        <w:tc>
          <w:tcPr>
            <w:tcW w:w="702" w:type="dxa"/>
          </w:tcPr>
          <w:p w14:paraId="426C39D5">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7B83DBDA">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505F0D4F">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41227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60" w:type="dxa"/>
            <w:vMerge w:val="continue"/>
            <w:tcBorders>
              <w:left w:val="single" w:color="000000" w:sz="6" w:space="0"/>
            </w:tcBorders>
          </w:tcPr>
          <w:p w14:paraId="02810AC3">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12" w:type="dxa"/>
            <w:vMerge w:val="continue"/>
          </w:tcPr>
          <w:p w14:paraId="65437A66">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274" w:type="dxa"/>
            <w:gridSpan w:val="2"/>
            <w:vAlign w:val="center"/>
          </w:tcPr>
          <w:p w14:paraId="68EE59FD">
            <w:pPr>
              <w:widowControl/>
              <w:jc w:val="center"/>
              <w:textAlignment w:val="center"/>
              <w:rPr>
                <w:rFonts w:eastAsia="宋体"/>
                <w:color w:val="000000" w:themeColor="text1"/>
                <w14:textFill>
                  <w14:solidFill>
                    <w14:schemeClr w14:val="tx1"/>
                  </w14:solidFill>
                </w14:textFill>
              </w:rPr>
            </w:pPr>
            <w:r>
              <w:rPr>
                <w:rFonts w:eastAsia="宋体"/>
                <w:color w:val="000000" w:themeColor="text1"/>
                <w:sz w:val="20"/>
                <w:szCs w:val="20"/>
                <w14:textFill>
                  <w14:solidFill>
                    <w14:schemeClr w14:val="tx1"/>
                  </w14:solidFill>
                </w14:textFill>
              </w:rPr>
              <w:t>七一村</w:t>
            </w:r>
          </w:p>
        </w:tc>
        <w:tc>
          <w:tcPr>
            <w:tcW w:w="1053" w:type="dxa"/>
            <w:vAlign w:val="center"/>
          </w:tcPr>
          <w:p w14:paraId="1E6F2F6D">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4500</w:t>
            </w:r>
          </w:p>
        </w:tc>
        <w:tc>
          <w:tcPr>
            <w:tcW w:w="702" w:type="dxa"/>
          </w:tcPr>
          <w:p w14:paraId="686EF3D1">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212A8E8F">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281E82E3">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17B66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560" w:type="dxa"/>
            <w:vMerge w:val="continue"/>
            <w:tcBorders>
              <w:left w:val="single" w:color="000000" w:sz="6" w:space="0"/>
            </w:tcBorders>
          </w:tcPr>
          <w:p w14:paraId="6D4D2D55">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12" w:type="dxa"/>
            <w:vMerge w:val="continue"/>
          </w:tcPr>
          <w:p w14:paraId="38B8DAB7">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274" w:type="dxa"/>
            <w:gridSpan w:val="2"/>
            <w:vAlign w:val="center"/>
          </w:tcPr>
          <w:p w14:paraId="339810A9">
            <w:pPr>
              <w:widowControl/>
              <w:jc w:val="center"/>
              <w:textAlignment w:val="center"/>
              <w:rPr>
                <w:rFonts w:eastAsia="宋体"/>
                <w:color w:val="000000" w:themeColor="text1"/>
                <w14:textFill>
                  <w14:solidFill>
                    <w14:schemeClr w14:val="tx1"/>
                  </w14:solidFill>
                </w14:textFill>
              </w:rPr>
            </w:pPr>
            <w:r>
              <w:rPr>
                <w:rFonts w:eastAsia="宋体"/>
                <w:color w:val="000000" w:themeColor="text1"/>
                <w:sz w:val="20"/>
                <w:szCs w:val="20"/>
                <w14:textFill>
                  <w14:solidFill>
                    <w14:schemeClr w14:val="tx1"/>
                  </w14:solidFill>
                </w14:textFill>
              </w:rPr>
              <w:t>东岗村</w:t>
            </w:r>
          </w:p>
        </w:tc>
        <w:tc>
          <w:tcPr>
            <w:tcW w:w="1053" w:type="dxa"/>
            <w:vAlign w:val="center"/>
          </w:tcPr>
          <w:p w14:paraId="33021F6D">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4000</w:t>
            </w:r>
          </w:p>
        </w:tc>
        <w:tc>
          <w:tcPr>
            <w:tcW w:w="702" w:type="dxa"/>
          </w:tcPr>
          <w:p w14:paraId="6F67C194">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34E25179">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7F6968F4">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r w14:paraId="1E3E1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560" w:type="dxa"/>
            <w:vMerge w:val="continue"/>
            <w:tcBorders>
              <w:left w:val="single" w:color="000000" w:sz="6" w:space="0"/>
            </w:tcBorders>
          </w:tcPr>
          <w:p w14:paraId="7C5A8ED8">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712" w:type="dxa"/>
            <w:vMerge w:val="continue"/>
          </w:tcPr>
          <w:p w14:paraId="16D9C287">
            <w:pPr>
              <w:widowControl/>
              <w:kinsoku w:val="0"/>
              <w:autoSpaceDE w:val="0"/>
              <w:autoSpaceDN w:val="0"/>
              <w:adjustRightInd w:val="0"/>
              <w:snapToGrid w:val="0"/>
              <w:jc w:val="left"/>
              <w:textAlignment w:val="baseline"/>
              <w:rPr>
                <w:rFonts w:eastAsia="宋体"/>
                <w:snapToGrid w:val="0"/>
                <w:color w:val="000000" w:themeColor="text1"/>
                <w:kern w:val="0"/>
                <w:szCs w:val="21"/>
                <w:lang w:eastAsia="en-US"/>
                <w14:textFill>
                  <w14:solidFill>
                    <w14:schemeClr w14:val="tx1"/>
                  </w14:solidFill>
                </w14:textFill>
              </w:rPr>
            </w:pPr>
          </w:p>
        </w:tc>
        <w:tc>
          <w:tcPr>
            <w:tcW w:w="2274" w:type="dxa"/>
            <w:gridSpan w:val="2"/>
            <w:vAlign w:val="center"/>
          </w:tcPr>
          <w:p w14:paraId="200017AA">
            <w:pPr>
              <w:widowControl/>
              <w:jc w:val="center"/>
              <w:textAlignment w:val="center"/>
              <w:rPr>
                <w:rFonts w:eastAsia="宋体"/>
                <w:color w:val="000000" w:themeColor="text1"/>
                <w14:textFill>
                  <w14:solidFill>
                    <w14:schemeClr w14:val="tx1"/>
                  </w14:solidFill>
                </w14:textFill>
              </w:rPr>
            </w:pPr>
            <w:r>
              <w:rPr>
                <w:rFonts w:eastAsia="宋体"/>
                <w:color w:val="000000" w:themeColor="text1"/>
                <w:sz w:val="20"/>
                <w:szCs w:val="20"/>
                <w14:textFill>
                  <w14:solidFill>
                    <w14:schemeClr w14:val="tx1"/>
                  </w14:solidFill>
                </w14:textFill>
              </w:rPr>
              <w:t>永久村</w:t>
            </w:r>
          </w:p>
        </w:tc>
        <w:tc>
          <w:tcPr>
            <w:tcW w:w="1053" w:type="dxa"/>
            <w:vAlign w:val="center"/>
          </w:tcPr>
          <w:p w14:paraId="11310D8F">
            <w:pPr>
              <w:widowControl/>
              <w:jc w:val="center"/>
              <w:textAlignment w:val="center"/>
              <w:rPr>
                <w:rFonts w:eastAsia="宋体"/>
                <w:snapToGrid w:val="0"/>
                <w:color w:val="000000" w:themeColor="text1"/>
                <w:kern w:val="0"/>
                <w:sz w:val="20"/>
                <w:szCs w:val="20"/>
                <w:lang w:eastAsia="en-US"/>
                <w14:textFill>
                  <w14:solidFill>
                    <w14:schemeClr w14:val="tx1"/>
                  </w14:solidFill>
                </w14:textFill>
              </w:rPr>
            </w:pPr>
            <w:r>
              <w:rPr>
                <w:rFonts w:eastAsia="宋体"/>
                <w:color w:val="000000" w:themeColor="text1"/>
                <w:sz w:val="20"/>
                <w:szCs w:val="20"/>
                <w14:textFill>
                  <w14:solidFill>
                    <w14:schemeClr w14:val="tx1"/>
                  </w14:solidFill>
                </w14:textFill>
              </w:rPr>
              <w:t>3900</w:t>
            </w:r>
          </w:p>
        </w:tc>
        <w:tc>
          <w:tcPr>
            <w:tcW w:w="702" w:type="dxa"/>
          </w:tcPr>
          <w:p w14:paraId="4F04E583">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958" w:type="dxa"/>
          </w:tcPr>
          <w:p w14:paraId="5A9E639E">
            <w:pPr>
              <w:kinsoku w:val="0"/>
              <w:autoSpaceDE w:val="0"/>
              <w:autoSpaceDN w:val="0"/>
              <w:adjustRightInd w:val="0"/>
              <w:snapToGrid w:val="0"/>
              <w:jc w:val="center"/>
              <w:textAlignment w:val="baseline"/>
              <w:rPr>
                <w:rFonts w:eastAsia="宋体"/>
                <w:snapToGrid w:val="0"/>
                <w:color w:val="000000" w:themeColor="text1"/>
                <w:spacing w:val="8"/>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不超标</w:t>
            </w:r>
          </w:p>
        </w:tc>
        <w:tc>
          <w:tcPr>
            <w:tcW w:w="1583" w:type="dxa"/>
            <w:tcBorders>
              <w:right w:val="single" w:color="000000" w:sz="6" w:space="0"/>
            </w:tcBorders>
          </w:tcPr>
          <w:p w14:paraId="02A05B4E">
            <w:pPr>
              <w:kinsoku w:val="0"/>
              <w:autoSpaceDE w:val="0"/>
              <w:autoSpaceDN w:val="0"/>
              <w:adjustRightInd w:val="0"/>
              <w:snapToGrid w:val="0"/>
              <w:jc w:val="center"/>
              <w:textAlignment w:val="baseline"/>
              <w:rPr>
                <w:rFonts w:eastAsia="宋体"/>
                <w:snapToGrid w:val="0"/>
                <w:color w:val="000000" w:themeColor="text1"/>
                <w:spacing w:val="8"/>
                <w:kern w:val="0"/>
                <w:szCs w:val="20"/>
                <w14:textFill>
                  <w14:solidFill>
                    <w14:schemeClr w14:val="tx1"/>
                  </w14:solidFill>
                </w14:textFill>
              </w:rPr>
            </w:pPr>
            <w:r>
              <w:rPr>
                <w:rFonts w:hint="eastAsia" w:eastAsia="宋体"/>
                <w:snapToGrid w:val="0"/>
                <w:color w:val="000000" w:themeColor="text1"/>
                <w:spacing w:val="8"/>
                <w:kern w:val="0"/>
                <w:szCs w:val="20"/>
                <w14:textFill>
                  <w14:solidFill>
                    <w14:schemeClr w14:val="tx1"/>
                  </w14:solidFill>
                </w14:textFill>
              </w:rPr>
              <w:t>0</w:t>
            </w:r>
          </w:p>
        </w:tc>
      </w:tr>
    </w:tbl>
    <w:p w14:paraId="2AC01E74">
      <w:pPr>
        <w:widowControl/>
        <w:kinsoku w:val="0"/>
        <w:autoSpaceDE w:val="0"/>
        <w:autoSpaceDN w:val="0"/>
        <w:adjustRightInd w:val="0"/>
        <w:snapToGrid w:val="0"/>
        <w:spacing w:before="131"/>
        <w:jc w:val="left"/>
        <w:textAlignment w:val="baseline"/>
        <w:rPr>
          <w:color w:val="000000" w:themeColor="text1"/>
          <w14:textFill>
            <w14:solidFill>
              <w14:schemeClr w14:val="tx1"/>
            </w14:solidFill>
          </w14:textFill>
        </w:rPr>
      </w:pPr>
    </w:p>
    <w:p w14:paraId="2C04CFC3">
      <w:pPr>
        <w:widowControl/>
        <w:kinsoku w:val="0"/>
        <w:autoSpaceDE w:val="0"/>
        <w:autoSpaceDN w:val="0"/>
        <w:adjustRightInd w:val="0"/>
        <w:snapToGrid w:val="0"/>
        <w:spacing w:before="131"/>
        <w:jc w:val="left"/>
        <w:textAlignment w:val="baseline"/>
        <w:rPr>
          <w:rFonts w:eastAsia="宋体"/>
          <w:b/>
          <w:bCs/>
          <w:snapToGrid w:val="0"/>
          <w:color w:val="000000" w:themeColor="text1"/>
          <w:kern w:val="0"/>
          <w:position w:val="-88"/>
          <w:szCs w:val="21"/>
          <w:lang w:eastAsia="en-US"/>
          <w14:textFill>
            <w14:solidFill>
              <w14:schemeClr w14:val="tx1"/>
            </w14:solidFill>
          </w14:textFill>
        </w:rPr>
      </w:pPr>
      <w:r>
        <w:rPr>
          <w:color w:val="000000" w:themeColor="text1"/>
          <w14:textFill>
            <w14:solidFill>
              <w14:schemeClr w14:val="tx1"/>
            </w14:solidFill>
          </w14:textFill>
        </w:rPr>
        <w:drawing>
          <wp:inline distT="0" distB="0" distL="114300" distR="114300">
            <wp:extent cx="5644515" cy="2458085"/>
            <wp:effectExtent l="0" t="0" r="0" b="0"/>
            <wp:docPr id="6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4"/>
                    <pic:cNvPicPr>
                      <a:picLocks noChangeAspect="1"/>
                    </pic:cNvPicPr>
                  </pic:nvPicPr>
                  <pic:blipFill>
                    <a:blip r:embed="rId81"/>
                    <a:srcRect b="11480"/>
                    <a:stretch>
                      <a:fillRect/>
                    </a:stretch>
                  </pic:blipFill>
                  <pic:spPr>
                    <a:xfrm>
                      <a:off x="0" y="0"/>
                      <a:ext cx="5644515" cy="2458085"/>
                    </a:xfrm>
                    <a:prstGeom prst="rect">
                      <a:avLst/>
                    </a:prstGeom>
                    <a:noFill/>
                    <a:ln>
                      <a:noFill/>
                    </a:ln>
                  </pic:spPr>
                </pic:pic>
              </a:graphicData>
            </a:graphic>
          </wp:inline>
        </w:drawing>
      </w:r>
    </w:p>
    <w:p w14:paraId="2950B49F">
      <w:pPr>
        <w:pStyle w:val="7"/>
        <w:kinsoku w:val="0"/>
        <w:autoSpaceDE w:val="0"/>
        <w:autoSpaceDN w:val="0"/>
        <w:textAlignment w:val="baseline"/>
        <w:rPr>
          <w:snapToGrid w:val="0"/>
          <w:color w:val="000000" w:themeColor="text1"/>
          <w:sz w:val="20"/>
          <w14:textFill>
            <w14:solidFill>
              <w14:schemeClr w14:val="tx1"/>
            </w14:solidFill>
          </w14:textFill>
        </w:rPr>
      </w:pPr>
      <w:r>
        <w:rPr>
          <w:color w:val="000000" w:themeColor="text1"/>
          <w14:textFill>
            <w14:solidFill>
              <w14:schemeClr w14:val="tx1"/>
            </w14:solidFill>
          </w14:textFill>
        </w:rPr>
        <w:t xml:space="preserve">图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图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SO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轴线最大浓度-距离曲线图</w:t>
      </w:r>
    </w:p>
    <w:p w14:paraId="332CD9FE">
      <w:pPr>
        <w:pStyle w:val="186"/>
        <w:ind w:firstLine="472"/>
        <w:rPr>
          <w:rFonts w:cs="Times New Roman"/>
          <w:color w:val="000000" w:themeColor="text1"/>
          <w:spacing w:val="-2"/>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（3）有毒有害气体大气伤害概率估算</w:t>
      </w:r>
    </w:p>
    <w:p w14:paraId="0C8038A7">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暴露于有毒有害物质气团下，无任何防护的人员，因</w:t>
      </w:r>
      <w:r>
        <w:rPr>
          <w:rFonts w:cs="Times New Roman"/>
          <w:color w:val="000000" w:themeColor="text1"/>
          <w:spacing w:val="-2"/>
          <w:kern w:val="0"/>
          <w:szCs w:val="24"/>
          <w14:textFill>
            <w14:solidFill>
              <w14:schemeClr w14:val="tx1"/>
            </w14:solidFill>
          </w14:textFill>
        </w:rPr>
        <w:t>物质毒性而导致死亡的概率</w:t>
      </w:r>
      <w:r>
        <w:rPr>
          <w:rFonts w:cs="Times New Roman"/>
          <w:color w:val="000000" w:themeColor="text1"/>
          <w:spacing w:val="-1"/>
          <w:kern w:val="0"/>
          <w:szCs w:val="24"/>
          <w14:textFill>
            <w14:solidFill>
              <w14:schemeClr w14:val="tx1"/>
            </w14:solidFill>
          </w14:textFill>
        </w:rPr>
        <w:t>可按导则附录I推荐公式计算，公式如下。</w:t>
      </w:r>
    </w:p>
    <w:p w14:paraId="28A5F14D">
      <w:pPr>
        <w:pStyle w:val="186"/>
        <w:ind w:firstLine="480"/>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position w:val="-74"/>
          <w:szCs w:val="24"/>
          <w14:textFill>
            <w14:solidFill>
              <w14:schemeClr w14:val="tx1"/>
            </w14:solidFill>
          </w14:textFill>
        </w:rPr>
        <w:object>
          <v:shape id="_x0000_i1035" o:spt="75" type="#_x0000_t75" style="height:80.35pt;width:176.65pt;" o:ole="t" filled="f" o:preferrelative="t" stroked="f" coordsize="21600,21600">
            <v:path/>
            <v:fill on="f" focussize="0,0"/>
            <v:stroke on="f" joinstyle="miter"/>
            <v:imagedata r:id="rId83" o:title=""/>
            <o:lock v:ext="edit" aspectratio="t"/>
            <w10:wrap type="none"/>
            <w10:anchorlock/>
          </v:shape>
          <o:OLEObject Type="Embed" ProgID="Equation.3" ShapeID="_x0000_i1035" DrawAspect="Content" ObjectID="_1468075735" r:id="rId82">
            <o:LockedField>false</o:LockedField>
          </o:OLEObject>
        </w:object>
      </w:r>
    </w:p>
    <w:p w14:paraId="596489DB">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式中：</w:t>
      </w:r>
    </w:p>
    <w:p w14:paraId="3F3A5B0F">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P</w:t>
      </w:r>
      <w:r>
        <w:rPr>
          <w:rFonts w:cs="Times New Roman"/>
          <w:color w:val="000000" w:themeColor="text1"/>
          <w:spacing w:val="-1"/>
          <w:kern w:val="0"/>
          <w:szCs w:val="24"/>
          <w:vertAlign w:val="subscript"/>
          <w14:textFill>
            <w14:solidFill>
              <w14:schemeClr w14:val="tx1"/>
            </w14:solidFill>
          </w14:textFill>
        </w:rPr>
        <w:t>E</w:t>
      </w:r>
      <w:r>
        <w:rPr>
          <w:rFonts w:cs="Times New Roman"/>
          <w:color w:val="000000" w:themeColor="text1"/>
          <w:spacing w:val="-1"/>
          <w:kern w:val="0"/>
          <w:szCs w:val="24"/>
          <w14:textFill>
            <w14:solidFill>
              <w14:schemeClr w14:val="tx1"/>
            </w14:solidFill>
          </w14:textFill>
        </w:rPr>
        <w:t>——人员吸入毒性物质而导致急性死亡的概率；</w:t>
      </w:r>
    </w:p>
    <w:p w14:paraId="6C6DD3C7">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Y——中间量，量纲1。可采用下式估算：</w:t>
      </w:r>
    </w:p>
    <w:p w14:paraId="3176A043">
      <w:pPr>
        <w:pStyle w:val="186"/>
        <w:ind w:firstLine="480"/>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position w:val="-12"/>
          <w:szCs w:val="24"/>
          <w14:textFill>
            <w14:solidFill>
              <w14:schemeClr w14:val="tx1"/>
            </w14:solidFill>
          </w14:textFill>
        </w:rPr>
        <w:object>
          <v:shape id="_x0000_i1036" o:spt="75" type="#_x0000_t75" style="height:18.4pt;width:96.3pt;" o:ole="t" filled="f" o:preferrelative="t" stroked="f" coordsize="21600,21600">
            <v:path/>
            <v:fill on="f" focussize="0,0"/>
            <v:stroke on="f" joinstyle="miter"/>
            <v:imagedata r:id="rId85" o:title=""/>
            <o:lock v:ext="edit" aspectratio="t"/>
            <w10:wrap type="none"/>
            <w10:anchorlock/>
          </v:shape>
          <o:OLEObject Type="Embed" ProgID="Equation.3" ShapeID="_x0000_i1036" DrawAspect="Content" ObjectID="_1468075736" r:id="rId84">
            <o:LockedField>false</o:LockedField>
          </o:OLEObject>
        </w:object>
      </w:r>
    </w:p>
    <w:p w14:paraId="78BDA382">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其中：A</w:t>
      </w:r>
      <w:r>
        <w:rPr>
          <w:rFonts w:cs="Times New Roman"/>
          <w:color w:val="000000" w:themeColor="text1"/>
          <w:spacing w:val="-1"/>
          <w:kern w:val="0"/>
          <w:szCs w:val="24"/>
          <w:vertAlign w:val="subscript"/>
          <w14:textFill>
            <w14:solidFill>
              <w14:schemeClr w14:val="tx1"/>
            </w14:solidFill>
          </w14:textFill>
        </w:rPr>
        <w:t>t</w:t>
      </w:r>
      <w:r>
        <w:rPr>
          <w:rFonts w:cs="Times New Roman"/>
          <w:color w:val="000000" w:themeColor="text1"/>
          <w:spacing w:val="-1"/>
          <w:kern w:val="0"/>
          <w:szCs w:val="24"/>
          <w14:textFill>
            <w14:solidFill>
              <w14:schemeClr w14:val="tx1"/>
            </w14:solidFill>
          </w14:textFill>
        </w:rPr>
        <w:t>、Bln和n——与毒物性质有关的参数，</w:t>
      </w:r>
    </w:p>
    <w:p w14:paraId="383D1B51">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C——接触的质量浓度，mg/m</w:t>
      </w:r>
      <w:r>
        <w:rPr>
          <w:rFonts w:cs="Times New Roman"/>
          <w:color w:val="000000" w:themeColor="text1"/>
          <w:spacing w:val="-1"/>
          <w:kern w:val="0"/>
          <w:szCs w:val="24"/>
          <w:vertAlign w:val="superscript"/>
          <w14:textFill>
            <w14:solidFill>
              <w14:schemeClr w14:val="tx1"/>
            </w14:solidFill>
          </w14:textFill>
        </w:rPr>
        <w:t>3</w:t>
      </w:r>
      <w:r>
        <w:rPr>
          <w:rFonts w:cs="Times New Roman"/>
          <w:color w:val="000000" w:themeColor="text1"/>
          <w:spacing w:val="-1"/>
          <w:kern w:val="0"/>
          <w:szCs w:val="24"/>
          <w14:textFill>
            <w14:solidFill>
              <w14:schemeClr w14:val="tx1"/>
            </w14:solidFill>
          </w14:textFill>
        </w:rPr>
        <w:t>；</w:t>
      </w:r>
    </w:p>
    <w:p w14:paraId="78FBF943">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t</w:t>
      </w:r>
      <w:r>
        <w:rPr>
          <w:rFonts w:cs="Times New Roman"/>
          <w:color w:val="000000" w:themeColor="text1"/>
          <w:spacing w:val="-1"/>
          <w:kern w:val="0"/>
          <w:szCs w:val="24"/>
          <w:vertAlign w:val="subscript"/>
          <w14:textFill>
            <w14:solidFill>
              <w14:schemeClr w14:val="tx1"/>
            </w14:solidFill>
          </w14:textFill>
        </w:rPr>
        <w:t>e</w:t>
      </w:r>
      <w:r>
        <w:rPr>
          <w:rFonts w:cs="Times New Roman"/>
          <w:color w:val="000000" w:themeColor="text1"/>
          <w:spacing w:val="-1"/>
          <w:kern w:val="0"/>
          <w:szCs w:val="24"/>
          <w14:textFill>
            <w14:solidFill>
              <w14:schemeClr w14:val="tx1"/>
            </w14:solidFill>
          </w14:textFill>
        </w:rPr>
        <w:t>——接触C质量浓度的时间，min。</w:t>
      </w:r>
    </w:p>
    <w:p w14:paraId="6B17AABB">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物质参数</w:t>
      </w:r>
    </w:p>
    <w:tbl>
      <w:tblPr>
        <w:tblStyle w:val="171"/>
        <w:tblW w:w="9060"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7"/>
        <w:gridCol w:w="2278"/>
        <w:gridCol w:w="2260"/>
        <w:gridCol w:w="2255"/>
      </w:tblGrid>
      <w:tr w14:paraId="586A4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267" w:type="dxa"/>
          </w:tcPr>
          <w:p w14:paraId="6156CF83">
            <w:pPr>
              <w:kinsoku w:val="0"/>
              <w:autoSpaceDE w:val="0"/>
              <w:autoSpaceDN w:val="0"/>
              <w:adjustRightInd w:val="0"/>
              <w:snapToGrid w:val="0"/>
              <w:spacing w:before="36" w:line="216" w:lineRule="auto"/>
              <w:ind w:left="94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物质</w:t>
            </w:r>
          </w:p>
        </w:tc>
        <w:tc>
          <w:tcPr>
            <w:tcW w:w="2278" w:type="dxa"/>
          </w:tcPr>
          <w:p w14:paraId="4BE4A37E">
            <w:pPr>
              <w:widowControl/>
              <w:kinsoku w:val="0"/>
              <w:autoSpaceDE w:val="0"/>
              <w:autoSpaceDN w:val="0"/>
              <w:adjustRightInd w:val="0"/>
              <w:snapToGrid w:val="0"/>
              <w:spacing w:before="56" w:line="202" w:lineRule="auto"/>
              <w:ind w:left="1051"/>
              <w:jc w:val="left"/>
              <w:textAlignment w:val="baseline"/>
              <w:rPr>
                <w:rFonts w:eastAsia="宋体"/>
                <w:snapToGrid w:val="0"/>
                <w:color w:val="000000" w:themeColor="text1"/>
                <w:kern w:val="0"/>
                <w:sz w:val="13"/>
                <w:szCs w:val="13"/>
                <w:lang w:eastAsia="en-US"/>
                <w14:textFill>
                  <w14:solidFill>
                    <w14:schemeClr w14:val="tx1"/>
                  </w14:solidFill>
                </w14:textFill>
              </w:rPr>
            </w:pPr>
            <w:r>
              <w:rPr>
                <w:rFonts w:eastAsia="宋体"/>
                <w:snapToGrid w:val="0"/>
                <w:color w:val="000000" w:themeColor="text1"/>
                <w:spacing w:val="2"/>
                <w:kern w:val="0"/>
                <w:sz w:val="20"/>
                <w:szCs w:val="20"/>
                <w:lang w:eastAsia="en-US"/>
                <w14:textFill>
                  <w14:solidFill>
                    <w14:schemeClr w14:val="tx1"/>
                  </w14:solidFill>
                </w14:textFill>
              </w:rPr>
              <w:t>A</w:t>
            </w:r>
            <w:r>
              <w:rPr>
                <w:rFonts w:eastAsia="宋体"/>
                <w:snapToGrid w:val="0"/>
                <w:color w:val="000000" w:themeColor="text1"/>
                <w:spacing w:val="2"/>
                <w:kern w:val="0"/>
                <w:position w:val="-1"/>
                <w:sz w:val="13"/>
                <w:szCs w:val="13"/>
                <w:lang w:eastAsia="en-US"/>
                <w14:textFill>
                  <w14:solidFill>
                    <w14:schemeClr w14:val="tx1"/>
                  </w14:solidFill>
                </w14:textFill>
              </w:rPr>
              <w:t>t</w:t>
            </w:r>
          </w:p>
        </w:tc>
        <w:tc>
          <w:tcPr>
            <w:tcW w:w="2260" w:type="dxa"/>
          </w:tcPr>
          <w:p w14:paraId="29B7E1A7">
            <w:pPr>
              <w:widowControl/>
              <w:kinsoku w:val="0"/>
              <w:autoSpaceDE w:val="0"/>
              <w:autoSpaceDN w:val="0"/>
              <w:adjustRightInd w:val="0"/>
              <w:snapToGrid w:val="0"/>
              <w:spacing w:before="59" w:line="199" w:lineRule="auto"/>
              <w:ind w:left="1050"/>
              <w:jc w:val="left"/>
              <w:textAlignment w:val="baseline"/>
              <w:rPr>
                <w:rFonts w:eastAsia="宋体"/>
                <w:snapToGrid w:val="0"/>
                <w:color w:val="000000" w:themeColor="text1"/>
                <w:kern w:val="0"/>
                <w:sz w:val="13"/>
                <w:szCs w:val="13"/>
                <w:lang w:eastAsia="en-US"/>
                <w14:textFill>
                  <w14:solidFill>
                    <w14:schemeClr w14:val="tx1"/>
                  </w14:solidFill>
                </w14:textFill>
              </w:rPr>
            </w:pPr>
            <w:r>
              <w:rPr>
                <w:rFonts w:eastAsia="宋体"/>
                <w:snapToGrid w:val="0"/>
                <w:color w:val="000000" w:themeColor="text1"/>
                <w:spacing w:val="1"/>
                <w:kern w:val="0"/>
                <w:sz w:val="20"/>
                <w:szCs w:val="20"/>
                <w:lang w:eastAsia="en-US"/>
                <w14:textFill>
                  <w14:solidFill>
                    <w14:schemeClr w14:val="tx1"/>
                  </w14:solidFill>
                </w14:textFill>
              </w:rPr>
              <w:t>B</w:t>
            </w:r>
            <w:r>
              <w:rPr>
                <w:rFonts w:eastAsia="宋体"/>
                <w:snapToGrid w:val="0"/>
                <w:color w:val="000000" w:themeColor="text1"/>
                <w:spacing w:val="1"/>
                <w:kern w:val="0"/>
                <w:position w:val="-1"/>
                <w:sz w:val="13"/>
                <w:szCs w:val="13"/>
                <w:lang w:eastAsia="en-US"/>
                <w14:textFill>
                  <w14:solidFill>
                    <w14:schemeClr w14:val="tx1"/>
                  </w14:solidFill>
                </w14:textFill>
              </w:rPr>
              <w:t>t</w:t>
            </w:r>
          </w:p>
        </w:tc>
        <w:tc>
          <w:tcPr>
            <w:tcW w:w="2255" w:type="dxa"/>
          </w:tcPr>
          <w:p w14:paraId="4235DCF4">
            <w:pPr>
              <w:widowControl/>
              <w:kinsoku w:val="0"/>
              <w:autoSpaceDE w:val="0"/>
              <w:autoSpaceDN w:val="0"/>
              <w:adjustRightInd w:val="0"/>
              <w:snapToGrid w:val="0"/>
              <w:spacing w:before="102" w:line="141" w:lineRule="exact"/>
              <w:ind w:left="107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n</w:t>
            </w:r>
          </w:p>
        </w:tc>
      </w:tr>
      <w:tr w14:paraId="5A8E9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267" w:type="dxa"/>
          </w:tcPr>
          <w:p w14:paraId="6A1EB1BA">
            <w:pPr>
              <w:kinsoku w:val="0"/>
              <w:autoSpaceDE w:val="0"/>
              <w:autoSpaceDN w:val="0"/>
              <w:adjustRightInd w:val="0"/>
              <w:snapToGrid w:val="0"/>
              <w:spacing w:before="32" w:line="215" w:lineRule="auto"/>
              <w:ind w:left="104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氨</w:t>
            </w:r>
          </w:p>
        </w:tc>
        <w:tc>
          <w:tcPr>
            <w:tcW w:w="2278" w:type="dxa"/>
          </w:tcPr>
          <w:p w14:paraId="6A20C6E7">
            <w:pPr>
              <w:widowControl/>
              <w:kinsoku w:val="0"/>
              <w:autoSpaceDE w:val="0"/>
              <w:autoSpaceDN w:val="0"/>
              <w:adjustRightInd w:val="0"/>
              <w:snapToGrid w:val="0"/>
              <w:spacing w:before="53" w:line="195" w:lineRule="auto"/>
              <w:ind w:left="94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-15.6</w:t>
            </w:r>
          </w:p>
        </w:tc>
        <w:tc>
          <w:tcPr>
            <w:tcW w:w="2260" w:type="dxa"/>
          </w:tcPr>
          <w:p w14:paraId="5B27347A">
            <w:pPr>
              <w:widowControl/>
              <w:kinsoku w:val="0"/>
              <w:autoSpaceDE w:val="0"/>
              <w:autoSpaceDN w:val="0"/>
              <w:adjustRightInd w:val="0"/>
              <w:snapToGrid w:val="0"/>
              <w:spacing w:before="53" w:line="195" w:lineRule="auto"/>
              <w:ind w:left="110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1</w:t>
            </w:r>
          </w:p>
        </w:tc>
        <w:tc>
          <w:tcPr>
            <w:tcW w:w="2255" w:type="dxa"/>
          </w:tcPr>
          <w:p w14:paraId="6FA0F81A">
            <w:pPr>
              <w:widowControl/>
              <w:kinsoku w:val="0"/>
              <w:autoSpaceDE w:val="0"/>
              <w:autoSpaceDN w:val="0"/>
              <w:adjustRightInd w:val="0"/>
              <w:snapToGrid w:val="0"/>
              <w:spacing w:before="53" w:line="195" w:lineRule="auto"/>
              <w:ind w:left="1078"/>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2</w:t>
            </w:r>
          </w:p>
        </w:tc>
      </w:tr>
      <w:tr w14:paraId="21723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2267" w:type="dxa"/>
          </w:tcPr>
          <w:p w14:paraId="21FDA191">
            <w:pPr>
              <w:kinsoku w:val="0"/>
              <w:autoSpaceDE w:val="0"/>
              <w:autoSpaceDN w:val="0"/>
              <w:adjustRightInd w:val="0"/>
              <w:snapToGrid w:val="0"/>
              <w:spacing w:before="36" w:line="216" w:lineRule="auto"/>
              <w:ind w:left="75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4"/>
                <w:kern w:val="0"/>
                <w:sz w:val="20"/>
                <w:szCs w:val="20"/>
                <w:lang w:eastAsia="en-US"/>
                <w14:textFill>
                  <w14:solidFill>
                    <w14:schemeClr w14:val="tx1"/>
                  </w14:solidFill>
                </w14:textFill>
              </w:rPr>
              <w:t>二氧化硫</w:t>
            </w:r>
          </w:p>
        </w:tc>
        <w:tc>
          <w:tcPr>
            <w:tcW w:w="2278" w:type="dxa"/>
          </w:tcPr>
          <w:p w14:paraId="46E55CA1">
            <w:pPr>
              <w:widowControl/>
              <w:kinsoku w:val="0"/>
              <w:autoSpaceDE w:val="0"/>
              <w:autoSpaceDN w:val="0"/>
              <w:adjustRightInd w:val="0"/>
              <w:snapToGrid w:val="0"/>
              <w:spacing w:before="54" w:line="195" w:lineRule="auto"/>
              <w:ind w:left="945"/>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3"/>
                <w:kern w:val="0"/>
                <w:sz w:val="20"/>
                <w:szCs w:val="20"/>
                <w:lang w:eastAsia="en-US"/>
                <w14:textFill>
                  <w14:solidFill>
                    <w14:schemeClr w14:val="tx1"/>
                  </w14:solidFill>
                </w14:textFill>
              </w:rPr>
              <w:t>-19.2</w:t>
            </w:r>
          </w:p>
        </w:tc>
        <w:tc>
          <w:tcPr>
            <w:tcW w:w="2260" w:type="dxa"/>
          </w:tcPr>
          <w:p w14:paraId="2626EA03">
            <w:pPr>
              <w:widowControl/>
              <w:kinsoku w:val="0"/>
              <w:autoSpaceDE w:val="0"/>
              <w:autoSpaceDN w:val="0"/>
              <w:adjustRightInd w:val="0"/>
              <w:snapToGrid w:val="0"/>
              <w:spacing w:before="54" w:line="195" w:lineRule="auto"/>
              <w:ind w:left="1103"/>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1</w:t>
            </w:r>
          </w:p>
        </w:tc>
        <w:tc>
          <w:tcPr>
            <w:tcW w:w="2255" w:type="dxa"/>
          </w:tcPr>
          <w:p w14:paraId="6B882F4D">
            <w:pPr>
              <w:widowControl/>
              <w:kinsoku w:val="0"/>
              <w:autoSpaceDE w:val="0"/>
              <w:autoSpaceDN w:val="0"/>
              <w:adjustRightInd w:val="0"/>
              <w:snapToGrid w:val="0"/>
              <w:spacing w:before="54" w:line="195" w:lineRule="auto"/>
              <w:ind w:left="1009"/>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1"/>
                <w:kern w:val="0"/>
                <w:sz w:val="20"/>
                <w:szCs w:val="20"/>
                <w:lang w:eastAsia="en-US"/>
                <w14:textFill>
                  <w14:solidFill>
                    <w14:schemeClr w14:val="tx1"/>
                  </w14:solidFill>
                </w14:textFill>
              </w:rPr>
              <w:t>2.4</w:t>
            </w:r>
          </w:p>
        </w:tc>
      </w:tr>
    </w:tbl>
    <w:p w14:paraId="62C3886E">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33</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各关心点大气伤害概率估算</w:t>
      </w:r>
    </w:p>
    <w:tbl>
      <w:tblPr>
        <w:tblStyle w:val="171"/>
        <w:tblW w:w="905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23"/>
        <w:gridCol w:w="1834"/>
        <w:gridCol w:w="2394"/>
        <w:gridCol w:w="2301"/>
      </w:tblGrid>
      <w:tr w14:paraId="18815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2523" w:type="dxa"/>
            <w:tcBorders>
              <w:top w:val="single" w:color="000000" w:sz="6" w:space="0"/>
              <w:left w:val="single" w:color="000000" w:sz="6" w:space="0"/>
              <w:bottom w:val="single" w:color="000000" w:sz="6" w:space="0"/>
            </w:tcBorders>
          </w:tcPr>
          <w:p w14:paraId="7F68FA66">
            <w:pPr>
              <w:kinsoku w:val="0"/>
              <w:autoSpaceDE w:val="0"/>
              <w:autoSpaceDN w:val="0"/>
              <w:adjustRightInd w:val="0"/>
              <w:snapToGrid w:val="0"/>
              <w:spacing w:before="35" w:line="222" w:lineRule="auto"/>
              <w:ind w:left="631"/>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8"/>
                <w:kern w:val="0"/>
                <w:sz w:val="20"/>
                <w:szCs w:val="20"/>
                <w:lang w:eastAsia="en-US"/>
                <w14:textFill>
                  <w14:solidFill>
                    <w14:schemeClr w14:val="tx1"/>
                  </w14:solidFill>
                </w14:textFill>
              </w:rPr>
              <w:t>敏感目标名称</w:t>
            </w:r>
          </w:p>
        </w:tc>
        <w:tc>
          <w:tcPr>
            <w:tcW w:w="1834" w:type="dxa"/>
            <w:tcBorders>
              <w:top w:val="single" w:color="000000" w:sz="6" w:space="0"/>
              <w:bottom w:val="single" w:color="000000" w:sz="6" w:space="0"/>
            </w:tcBorders>
          </w:tcPr>
          <w:p w14:paraId="2CA5B9F1">
            <w:pPr>
              <w:kinsoku w:val="0"/>
              <w:autoSpaceDE w:val="0"/>
              <w:autoSpaceDN w:val="0"/>
              <w:adjustRightInd w:val="0"/>
              <w:snapToGrid w:val="0"/>
              <w:spacing w:before="35" w:line="222" w:lineRule="auto"/>
              <w:ind w:left="307"/>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9"/>
                <w:kern w:val="0"/>
                <w:sz w:val="20"/>
                <w:szCs w:val="20"/>
                <w:lang w:eastAsia="en-US"/>
                <w14:textFill>
                  <w14:solidFill>
                    <w14:schemeClr w14:val="tx1"/>
                  </w14:solidFill>
                </w14:textFill>
              </w:rPr>
              <w:t>接触时间/</w:t>
            </w:r>
            <w:r>
              <w:rPr>
                <w:rFonts w:eastAsia="宋体"/>
                <w:snapToGrid w:val="0"/>
                <w:color w:val="000000" w:themeColor="text1"/>
                <w:kern w:val="0"/>
                <w:sz w:val="20"/>
                <w:szCs w:val="20"/>
                <w:lang w:eastAsia="en-US"/>
                <w14:textFill>
                  <w14:solidFill>
                    <w14:schemeClr w14:val="tx1"/>
                  </w14:solidFill>
                </w14:textFill>
              </w:rPr>
              <w:t>min</w:t>
            </w:r>
          </w:p>
        </w:tc>
        <w:tc>
          <w:tcPr>
            <w:tcW w:w="2394" w:type="dxa"/>
            <w:tcBorders>
              <w:top w:val="single" w:color="000000" w:sz="6" w:space="0"/>
              <w:bottom w:val="single" w:color="000000" w:sz="6" w:space="0"/>
            </w:tcBorders>
          </w:tcPr>
          <w:p w14:paraId="45E63D52">
            <w:pPr>
              <w:kinsoku w:val="0"/>
              <w:autoSpaceDE w:val="0"/>
              <w:autoSpaceDN w:val="0"/>
              <w:adjustRightInd w:val="0"/>
              <w:snapToGrid w:val="0"/>
              <w:spacing w:before="35" w:line="221" w:lineRule="auto"/>
              <w:ind w:left="196"/>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接触最大浓度/(</w:t>
            </w:r>
            <w:r>
              <w:rPr>
                <w:rFonts w:eastAsia="宋体"/>
                <w:snapToGrid w:val="0"/>
                <w:color w:val="000000" w:themeColor="text1"/>
                <w:kern w:val="0"/>
                <w:sz w:val="20"/>
                <w:szCs w:val="20"/>
                <w:lang w:eastAsia="en-US"/>
                <w14:textFill>
                  <w14:solidFill>
                    <w14:schemeClr w14:val="tx1"/>
                  </w14:solidFill>
                </w14:textFill>
              </w:rPr>
              <w:t>mg</w:t>
            </w:r>
            <w:r>
              <w:rPr>
                <w:rFonts w:eastAsia="宋体"/>
                <w:snapToGrid w:val="0"/>
                <w:color w:val="000000" w:themeColor="text1"/>
                <w:spacing w:val="7"/>
                <w:kern w:val="0"/>
                <w:sz w:val="20"/>
                <w:szCs w:val="20"/>
                <w:lang w:eastAsia="en-US"/>
                <w14:textFill>
                  <w14:solidFill>
                    <w14:schemeClr w14:val="tx1"/>
                  </w14:solidFill>
                </w14:textFill>
              </w:rPr>
              <w:t>/m</w:t>
            </w:r>
            <w:r>
              <w:rPr>
                <w:rFonts w:eastAsia="宋体"/>
                <w:snapToGrid w:val="0"/>
                <w:color w:val="000000" w:themeColor="text1"/>
                <w:spacing w:val="7"/>
                <w:kern w:val="0"/>
                <w:position w:val="6"/>
                <w:sz w:val="13"/>
                <w:szCs w:val="13"/>
                <w:lang w:eastAsia="en-US"/>
                <w14:textFill>
                  <w14:solidFill>
                    <w14:schemeClr w14:val="tx1"/>
                  </w14:solidFill>
                </w14:textFill>
              </w:rPr>
              <w:t>3</w:t>
            </w:r>
            <w:r>
              <w:rPr>
                <w:rFonts w:eastAsia="宋体"/>
                <w:snapToGrid w:val="0"/>
                <w:color w:val="000000" w:themeColor="text1"/>
                <w:spacing w:val="7"/>
                <w:kern w:val="0"/>
                <w:sz w:val="20"/>
                <w:szCs w:val="20"/>
                <w:lang w:eastAsia="en-US"/>
                <w14:textFill>
                  <w14:solidFill>
                    <w14:schemeClr w14:val="tx1"/>
                  </w14:solidFill>
                </w14:textFill>
              </w:rPr>
              <w:t>)</w:t>
            </w:r>
          </w:p>
        </w:tc>
        <w:tc>
          <w:tcPr>
            <w:tcW w:w="2301" w:type="dxa"/>
            <w:tcBorders>
              <w:top w:val="single" w:color="000000" w:sz="6" w:space="0"/>
              <w:bottom w:val="single" w:color="000000" w:sz="6" w:space="0"/>
              <w:right w:val="single" w:color="000000" w:sz="6" w:space="0"/>
            </w:tcBorders>
          </w:tcPr>
          <w:p w14:paraId="5548C385">
            <w:pPr>
              <w:kinsoku w:val="0"/>
              <w:autoSpaceDE w:val="0"/>
              <w:autoSpaceDN w:val="0"/>
              <w:adjustRightInd w:val="0"/>
              <w:snapToGrid w:val="0"/>
              <w:spacing w:before="35" w:line="222" w:lineRule="auto"/>
              <w:ind w:left="439"/>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7"/>
                <w:kern w:val="0"/>
                <w:sz w:val="20"/>
                <w:szCs w:val="20"/>
                <w:lang w:eastAsia="en-US"/>
                <w14:textFill>
                  <w14:solidFill>
                    <w14:schemeClr w14:val="tx1"/>
                  </w14:solidFill>
                </w14:textFill>
              </w:rPr>
              <w:t>死亡概率（%）</w:t>
            </w:r>
          </w:p>
        </w:tc>
      </w:tr>
      <w:tr w14:paraId="30FC4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9052" w:type="dxa"/>
            <w:gridSpan w:val="4"/>
            <w:tcBorders>
              <w:top w:val="single" w:color="000000" w:sz="6" w:space="0"/>
              <w:left w:val="single" w:color="000000" w:sz="6" w:space="0"/>
              <w:right w:val="single" w:color="000000" w:sz="6" w:space="0"/>
            </w:tcBorders>
          </w:tcPr>
          <w:p w14:paraId="488A6A91">
            <w:pPr>
              <w:kinsoku w:val="0"/>
              <w:autoSpaceDE w:val="0"/>
              <w:autoSpaceDN w:val="0"/>
              <w:adjustRightInd w:val="0"/>
              <w:snapToGrid w:val="0"/>
              <w:spacing w:before="28" w:line="216" w:lineRule="auto"/>
              <w:ind w:left="4422"/>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kern w:val="0"/>
                <w:sz w:val="20"/>
                <w:szCs w:val="20"/>
                <w:lang w:eastAsia="en-US"/>
                <w14:textFill>
                  <w14:solidFill>
                    <w14:schemeClr w14:val="tx1"/>
                  </w14:solidFill>
                </w14:textFill>
              </w:rPr>
              <w:t>氨</w:t>
            </w:r>
          </w:p>
        </w:tc>
      </w:tr>
      <w:tr w14:paraId="17CCB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523" w:type="dxa"/>
            <w:tcBorders>
              <w:left w:val="single" w:color="000000" w:sz="6" w:space="0"/>
            </w:tcBorders>
          </w:tcPr>
          <w:p w14:paraId="720FC4A0">
            <w:pPr>
              <w:kinsoku w:val="0"/>
              <w:autoSpaceDE w:val="0"/>
              <w:autoSpaceDN w:val="0"/>
              <w:adjustRightInd w:val="0"/>
              <w:snapToGrid w:val="0"/>
              <w:spacing w:before="31" w:line="218" w:lineRule="auto"/>
              <w:ind w:left="949"/>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kern w:val="0"/>
                <w:sz w:val="20"/>
                <w:szCs w:val="20"/>
                <w14:textFill>
                  <w14:solidFill>
                    <w14:schemeClr w14:val="tx1"/>
                  </w14:solidFill>
                </w14:textFill>
              </w:rPr>
              <w:t>无</w:t>
            </w:r>
          </w:p>
        </w:tc>
        <w:tc>
          <w:tcPr>
            <w:tcW w:w="1834" w:type="dxa"/>
          </w:tcPr>
          <w:p w14:paraId="191D1E0E">
            <w:pPr>
              <w:widowControl/>
              <w:kinsoku w:val="0"/>
              <w:autoSpaceDE w:val="0"/>
              <w:autoSpaceDN w:val="0"/>
              <w:adjustRightInd w:val="0"/>
              <w:snapToGrid w:val="0"/>
              <w:spacing w:before="67" w:line="195" w:lineRule="auto"/>
              <w:ind w:left="735"/>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kern w:val="0"/>
                <w:sz w:val="20"/>
                <w:szCs w:val="20"/>
                <w14:textFill>
                  <w14:solidFill>
                    <w14:schemeClr w14:val="tx1"/>
                  </w14:solidFill>
                </w14:textFill>
              </w:rPr>
              <w:t>/</w:t>
            </w:r>
          </w:p>
        </w:tc>
        <w:tc>
          <w:tcPr>
            <w:tcW w:w="2394" w:type="dxa"/>
          </w:tcPr>
          <w:p w14:paraId="1275FC0D">
            <w:pPr>
              <w:widowControl/>
              <w:kinsoku w:val="0"/>
              <w:autoSpaceDE w:val="0"/>
              <w:autoSpaceDN w:val="0"/>
              <w:adjustRightInd w:val="0"/>
              <w:snapToGrid w:val="0"/>
              <w:spacing w:before="52" w:line="195" w:lineRule="auto"/>
              <w:ind w:left="878"/>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spacing w:val="1"/>
                <w:kern w:val="0"/>
                <w:sz w:val="20"/>
                <w:szCs w:val="20"/>
                <w14:textFill>
                  <w14:solidFill>
                    <w14:schemeClr w14:val="tx1"/>
                  </w14:solidFill>
                </w14:textFill>
              </w:rPr>
              <w:t>/</w:t>
            </w:r>
          </w:p>
        </w:tc>
        <w:tc>
          <w:tcPr>
            <w:tcW w:w="2301" w:type="dxa"/>
            <w:tcBorders>
              <w:right w:val="single" w:color="000000" w:sz="6" w:space="0"/>
            </w:tcBorders>
          </w:tcPr>
          <w:p w14:paraId="39CE4084">
            <w:pPr>
              <w:widowControl/>
              <w:kinsoku w:val="0"/>
              <w:autoSpaceDE w:val="0"/>
              <w:autoSpaceDN w:val="0"/>
              <w:adjustRightInd w:val="0"/>
              <w:snapToGrid w:val="0"/>
              <w:spacing w:before="67" w:line="195" w:lineRule="auto"/>
              <w:ind w:left="971"/>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kern w:val="0"/>
                <w:sz w:val="20"/>
                <w:szCs w:val="20"/>
                <w14:textFill>
                  <w14:solidFill>
                    <w14:schemeClr w14:val="tx1"/>
                  </w14:solidFill>
                </w14:textFill>
              </w:rPr>
              <w:t>/</w:t>
            </w:r>
          </w:p>
        </w:tc>
      </w:tr>
      <w:tr w14:paraId="725EF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052" w:type="dxa"/>
            <w:gridSpan w:val="4"/>
            <w:tcBorders>
              <w:left w:val="single" w:color="000000" w:sz="6" w:space="0"/>
              <w:right w:val="single" w:color="000000" w:sz="6" w:space="0"/>
            </w:tcBorders>
          </w:tcPr>
          <w:p w14:paraId="414092D5">
            <w:pPr>
              <w:kinsoku w:val="0"/>
              <w:autoSpaceDE w:val="0"/>
              <w:autoSpaceDN w:val="0"/>
              <w:adjustRightInd w:val="0"/>
              <w:snapToGrid w:val="0"/>
              <w:spacing w:before="31" w:line="217" w:lineRule="auto"/>
              <w:ind w:left="4109"/>
              <w:jc w:val="left"/>
              <w:textAlignment w:val="baseline"/>
              <w:rPr>
                <w:rFonts w:eastAsia="宋体"/>
                <w:snapToGrid w:val="0"/>
                <w:color w:val="000000" w:themeColor="text1"/>
                <w:kern w:val="0"/>
                <w:sz w:val="20"/>
                <w:szCs w:val="20"/>
                <w:lang w:eastAsia="en-US"/>
                <w14:textFill>
                  <w14:solidFill>
                    <w14:schemeClr w14:val="tx1"/>
                  </w14:solidFill>
                </w14:textFill>
              </w:rPr>
            </w:pPr>
            <w:r>
              <w:rPr>
                <w:rFonts w:eastAsia="宋体"/>
                <w:snapToGrid w:val="0"/>
                <w:color w:val="000000" w:themeColor="text1"/>
                <w:spacing w:val="6"/>
                <w:kern w:val="0"/>
                <w:sz w:val="20"/>
                <w:szCs w:val="20"/>
                <w:lang w:eastAsia="en-US"/>
                <w14:textFill>
                  <w14:solidFill>
                    <w14:schemeClr w14:val="tx1"/>
                  </w14:solidFill>
                </w14:textFill>
              </w:rPr>
              <w:t>二氧化硫</w:t>
            </w:r>
          </w:p>
        </w:tc>
      </w:tr>
      <w:tr w14:paraId="72710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2523" w:type="dxa"/>
            <w:tcBorders>
              <w:left w:val="single" w:color="000000" w:sz="6" w:space="0"/>
            </w:tcBorders>
          </w:tcPr>
          <w:p w14:paraId="4EFA943D">
            <w:pPr>
              <w:kinsoku w:val="0"/>
              <w:autoSpaceDE w:val="0"/>
              <w:autoSpaceDN w:val="0"/>
              <w:adjustRightInd w:val="0"/>
              <w:snapToGrid w:val="0"/>
              <w:spacing w:before="57" w:line="228" w:lineRule="auto"/>
              <w:ind w:left="973"/>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kern w:val="0"/>
                <w:sz w:val="20"/>
                <w:szCs w:val="20"/>
                <w14:textFill>
                  <w14:solidFill>
                    <w14:schemeClr w14:val="tx1"/>
                  </w14:solidFill>
                </w14:textFill>
              </w:rPr>
              <w:t>无</w:t>
            </w:r>
          </w:p>
        </w:tc>
        <w:tc>
          <w:tcPr>
            <w:tcW w:w="1834" w:type="dxa"/>
          </w:tcPr>
          <w:p w14:paraId="3B72760B">
            <w:pPr>
              <w:widowControl/>
              <w:kinsoku w:val="0"/>
              <w:autoSpaceDE w:val="0"/>
              <w:autoSpaceDN w:val="0"/>
              <w:adjustRightInd w:val="0"/>
              <w:snapToGrid w:val="0"/>
              <w:spacing w:before="102" w:line="195" w:lineRule="auto"/>
              <w:ind w:left="701"/>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kern w:val="0"/>
                <w:sz w:val="20"/>
                <w:szCs w:val="20"/>
                <w14:textFill>
                  <w14:solidFill>
                    <w14:schemeClr w14:val="tx1"/>
                  </w14:solidFill>
                </w14:textFill>
              </w:rPr>
              <w:t>/</w:t>
            </w:r>
          </w:p>
        </w:tc>
        <w:tc>
          <w:tcPr>
            <w:tcW w:w="2394" w:type="dxa"/>
          </w:tcPr>
          <w:p w14:paraId="46BBC0E4">
            <w:pPr>
              <w:widowControl/>
              <w:kinsoku w:val="0"/>
              <w:autoSpaceDE w:val="0"/>
              <w:autoSpaceDN w:val="0"/>
              <w:adjustRightInd w:val="0"/>
              <w:snapToGrid w:val="0"/>
              <w:spacing w:before="54" w:line="195" w:lineRule="auto"/>
              <w:ind w:left="931"/>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kern w:val="0"/>
                <w:sz w:val="20"/>
                <w:szCs w:val="20"/>
                <w14:textFill>
                  <w14:solidFill>
                    <w14:schemeClr w14:val="tx1"/>
                  </w14:solidFill>
                </w14:textFill>
              </w:rPr>
              <w:t>/</w:t>
            </w:r>
          </w:p>
        </w:tc>
        <w:tc>
          <w:tcPr>
            <w:tcW w:w="2301" w:type="dxa"/>
            <w:tcBorders>
              <w:right w:val="single" w:color="000000" w:sz="6" w:space="0"/>
            </w:tcBorders>
          </w:tcPr>
          <w:p w14:paraId="5FC8D461">
            <w:pPr>
              <w:widowControl/>
              <w:kinsoku w:val="0"/>
              <w:autoSpaceDE w:val="0"/>
              <w:autoSpaceDN w:val="0"/>
              <w:adjustRightInd w:val="0"/>
              <w:snapToGrid w:val="0"/>
              <w:spacing w:before="102" w:line="195" w:lineRule="auto"/>
              <w:ind w:left="971"/>
              <w:jc w:val="left"/>
              <w:textAlignment w:val="baseline"/>
              <w:rPr>
                <w:rFonts w:eastAsia="宋体"/>
                <w:snapToGrid w:val="0"/>
                <w:color w:val="000000" w:themeColor="text1"/>
                <w:kern w:val="0"/>
                <w:sz w:val="20"/>
                <w:szCs w:val="20"/>
                <w14:textFill>
                  <w14:solidFill>
                    <w14:schemeClr w14:val="tx1"/>
                  </w14:solidFill>
                </w14:textFill>
              </w:rPr>
            </w:pPr>
            <w:r>
              <w:rPr>
                <w:rFonts w:eastAsia="宋体"/>
                <w:snapToGrid w:val="0"/>
                <w:color w:val="000000" w:themeColor="text1"/>
                <w:kern w:val="0"/>
                <w:sz w:val="20"/>
                <w:szCs w:val="20"/>
                <w14:textFill>
                  <w14:solidFill>
                    <w14:schemeClr w14:val="tx1"/>
                  </w14:solidFill>
                </w14:textFill>
              </w:rPr>
              <w:t>/</w:t>
            </w:r>
          </w:p>
        </w:tc>
      </w:tr>
    </w:tbl>
    <w:p w14:paraId="555201C0">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由上表可知，本项目硫酸铵发生泄漏后，如突发火灾，硫酸铵分解产生的氨气、和二氧化硫在5km评价范围内最大落地浓度均不超标。</w:t>
      </w:r>
    </w:p>
    <w:p w14:paraId="747AB4E5">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上述结果均建立在评价假设的事故源全部发生的</w:t>
      </w:r>
      <w:r>
        <w:rPr>
          <w:rFonts w:cs="Times New Roman"/>
          <w:color w:val="000000" w:themeColor="text1"/>
          <w:spacing w:val="-2"/>
          <w:kern w:val="0"/>
          <w:szCs w:val="24"/>
          <w14:textFill>
            <w14:solidFill>
              <w14:schemeClr w14:val="tx1"/>
            </w14:solidFill>
          </w14:textFill>
        </w:rPr>
        <w:t>基础之上，本评价要求，企业应</w:t>
      </w:r>
      <w:r>
        <w:rPr>
          <w:rFonts w:cs="Times New Roman"/>
          <w:color w:val="000000" w:themeColor="text1"/>
          <w:spacing w:val="-1"/>
          <w:kern w:val="0"/>
          <w:szCs w:val="24"/>
          <w14:textFill>
            <w14:solidFill>
              <w14:schemeClr w14:val="tx1"/>
            </w14:solidFill>
          </w14:textFill>
        </w:rPr>
        <w:t>该在事故发生后，立即启动应急预案，根据现场实际情况对影响</w:t>
      </w:r>
      <w:r>
        <w:rPr>
          <w:rFonts w:cs="Times New Roman"/>
          <w:color w:val="000000" w:themeColor="text1"/>
          <w:spacing w:val="-2"/>
          <w:kern w:val="0"/>
          <w:szCs w:val="24"/>
          <w14:textFill>
            <w14:solidFill>
              <w14:schemeClr w14:val="tx1"/>
            </w14:solidFill>
          </w14:textFill>
        </w:rPr>
        <w:t>范围内的人群进行疏散、撤离。</w:t>
      </w:r>
    </w:p>
    <w:bookmarkEnd w:id="131"/>
    <w:p w14:paraId="4104277A">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9.2有毒有害物质在地表水、地下水环境中的运移扩散</w:t>
      </w:r>
    </w:p>
    <w:p w14:paraId="5013F7C9">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正常情况下，本项目原料贮存在包装袋内，且袋内均有塑料薄膜包裹，同时原料</w:t>
      </w:r>
      <w:r>
        <w:rPr>
          <w:rFonts w:cs="Times New Roman"/>
          <w:color w:val="000000" w:themeColor="text1"/>
          <w:spacing w:val="-1"/>
          <w:kern w:val="0"/>
          <w:szCs w:val="24"/>
          <w14:textFill>
            <w14:solidFill>
              <w14:schemeClr w14:val="tx1"/>
            </w14:solidFill>
          </w14:textFill>
        </w:rPr>
        <w:t>库房地面严格按照相应规范采取硬化防渗处理，</w:t>
      </w:r>
      <w:r>
        <w:rPr>
          <w:rFonts w:cs="Times New Roman"/>
          <w:color w:val="000000" w:themeColor="text1"/>
          <w:spacing w:val="-2"/>
          <w:kern w:val="0"/>
          <w:szCs w:val="24"/>
          <w14:textFill>
            <w14:solidFill>
              <w14:schemeClr w14:val="tx1"/>
            </w14:solidFill>
          </w14:textFill>
        </w:rPr>
        <w:t>因此在原料</w:t>
      </w:r>
      <w:r>
        <w:rPr>
          <w:rFonts w:cs="Times New Roman"/>
          <w:color w:val="000000" w:themeColor="text1"/>
          <w:spacing w:val="-1"/>
          <w:kern w:val="0"/>
          <w:szCs w:val="24"/>
          <w14:textFill>
            <w14:solidFill>
              <w14:schemeClr w14:val="tx1"/>
            </w14:solidFill>
          </w14:textFill>
        </w:rPr>
        <w:t>使用转运过程若硫酸铵洒落，硫酸铵为固体，一般情况下不</w:t>
      </w:r>
      <w:r>
        <w:rPr>
          <w:rFonts w:cs="Times New Roman"/>
          <w:color w:val="000000" w:themeColor="text1"/>
          <w:spacing w:val="-2"/>
          <w:kern w:val="0"/>
          <w:szCs w:val="24"/>
          <w14:textFill>
            <w14:solidFill>
              <w14:schemeClr w14:val="tx1"/>
            </w14:solidFill>
          </w14:textFill>
        </w:rPr>
        <w:t>会流出厂区，</w:t>
      </w:r>
      <w:r>
        <w:rPr>
          <w:rFonts w:cs="Times New Roman"/>
          <w:color w:val="000000" w:themeColor="text1"/>
          <w:spacing w:val="-1"/>
          <w:kern w:val="0"/>
          <w:szCs w:val="24"/>
          <w14:textFill>
            <w14:solidFill>
              <w14:schemeClr w14:val="tx1"/>
            </w14:solidFill>
          </w14:textFill>
        </w:rPr>
        <w:t>事故应急池严格做好防</w:t>
      </w:r>
      <w:r>
        <w:rPr>
          <w:rFonts w:cs="Times New Roman"/>
          <w:color w:val="000000" w:themeColor="text1"/>
          <w:spacing w:val="-2"/>
          <w:kern w:val="0"/>
          <w:szCs w:val="24"/>
          <w14:textFill>
            <w14:solidFill>
              <w14:schemeClr w14:val="tx1"/>
            </w14:solidFill>
          </w14:textFill>
        </w:rPr>
        <w:t>渗防腐、防漏等措施，能</w:t>
      </w:r>
      <w:r>
        <w:rPr>
          <w:rFonts w:cs="Times New Roman"/>
          <w:color w:val="000000" w:themeColor="text1"/>
          <w:spacing w:val="-1"/>
          <w:kern w:val="0"/>
          <w:szCs w:val="24"/>
          <w14:textFill>
            <w14:solidFill>
              <w14:schemeClr w14:val="tx1"/>
            </w14:solidFill>
          </w14:textFill>
        </w:rPr>
        <w:t>有效避免事故废水对周围地表水及地下水环境的影响。</w:t>
      </w:r>
    </w:p>
    <w:p w14:paraId="7C0D6A24">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因此，正常情况下，硫酸铵存入全密闭库房无地下水环境的污染途径</w:t>
      </w:r>
      <w:r>
        <w:rPr>
          <w:rFonts w:cs="Times New Roman"/>
          <w:color w:val="000000" w:themeColor="text1"/>
          <w:spacing w:val="5"/>
          <w:kern w:val="0"/>
          <w:szCs w:val="24"/>
          <w14:textFill>
            <w14:solidFill>
              <w14:schemeClr w14:val="tx1"/>
            </w14:solidFill>
          </w14:textFill>
        </w:rPr>
        <w:t>；建议企业应加强对相关设施设备的日常检修维护和监测工</w:t>
      </w:r>
      <w:r>
        <w:rPr>
          <w:rFonts w:cs="Times New Roman"/>
          <w:color w:val="000000" w:themeColor="text1"/>
          <w:spacing w:val="-1"/>
          <w:kern w:val="0"/>
          <w:szCs w:val="24"/>
          <w14:textFill>
            <w14:solidFill>
              <w14:schemeClr w14:val="tx1"/>
            </w14:solidFill>
          </w14:textFill>
        </w:rPr>
        <w:t>作，将有毒有害物质进入地表水、地下水环境的影响程度降至最低。</w:t>
      </w:r>
    </w:p>
    <w:p w14:paraId="60029752">
      <w:pPr>
        <w:spacing w:line="219" w:lineRule="auto"/>
        <w:rPr>
          <w:rFonts w:eastAsia="宋体"/>
          <w:color w:val="000000" w:themeColor="text1"/>
          <w:sz w:val="24"/>
          <w14:textFill>
            <w14:solidFill>
              <w14:schemeClr w14:val="tx1"/>
            </w14:solidFill>
          </w14:textFill>
        </w:rPr>
        <w:sectPr>
          <w:footerReference r:id="rId17" w:type="default"/>
          <w:pgSz w:w="11906" w:h="16839"/>
          <w:pgMar w:top="1431" w:right="1471" w:bottom="958" w:left="1539" w:header="0" w:footer="694" w:gutter="0"/>
          <w:cols w:space="720" w:num="1"/>
        </w:sectPr>
      </w:pPr>
    </w:p>
    <w:p w14:paraId="525C11B2">
      <w:pPr>
        <w:pStyle w:val="184"/>
        <w:rPr>
          <w:rFonts w:hint="default" w:cs="Times New Roman"/>
          <w:snapToGrid w:val="0"/>
          <w:color w:val="000000" w:themeColor="text1"/>
          <w:szCs w:val="24"/>
          <w14:textFill>
            <w14:solidFill>
              <w14:schemeClr w14:val="tx1"/>
            </w14:solidFill>
          </w14:textFill>
        </w:rPr>
      </w:pPr>
      <w:bookmarkStart w:id="132" w:name="_Toc8925"/>
      <w:bookmarkStart w:id="133" w:name="_Toc190759005"/>
      <w:bookmarkStart w:id="134" w:name="_Toc12385"/>
      <w:bookmarkStart w:id="135" w:name="_Toc192084912"/>
      <w:bookmarkStart w:id="136" w:name="_Toc191543581"/>
      <w:r>
        <w:rPr>
          <w:rFonts w:hint="default" w:cs="Times New Roman"/>
          <w:snapToGrid w:val="0"/>
          <w:color w:val="000000" w:themeColor="text1"/>
          <w:spacing w:val="-3"/>
          <w:szCs w:val="24"/>
          <w14:textFill>
            <w14:solidFill>
              <w14:schemeClr w14:val="tx1"/>
            </w14:solidFill>
          </w14:textFill>
        </w:rPr>
        <w:t>10.环境风险管理</w:t>
      </w:r>
      <w:bookmarkEnd w:id="132"/>
      <w:bookmarkEnd w:id="133"/>
      <w:bookmarkEnd w:id="134"/>
      <w:bookmarkEnd w:id="135"/>
      <w:bookmarkEnd w:id="136"/>
    </w:p>
    <w:p w14:paraId="1C255958">
      <w:pPr>
        <w:pStyle w:val="186"/>
        <w:ind w:firstLine="470"/>
        <w:rPr>
          <w:rFonts w:cs="Times New Roman"/>
          <w:color w:val="000000" w:themeColor="text1"/>
          <w:kern w:val="0"/>
          <w:szCs w:val="24"/>
          <w14:textFill>
            <w14:solidFill>
              <w14:schemeClr w14:val="tx1"/>
            </w14:solidFill>
          </w14:textFill>
        </w:rPr>
      </w:pPr>
      <w:r>
        <w:rPr>
          <w:rFonts w:cs="Times New Roman"/>
          <w:b/>
          <w:bCs/>
          <w:color w:val="000000" w:themeColor="text1"/>
          <w:spacing w:val="-3"/>
          <w:kern w:val="0"/>
          <w:szCs w:val="24"/>
          <w14:textFill>
            <w14:solidFill>
              <w14:schemeClr w14:val="tx1"/>
            </w14:solidFill>
          </w14:textFill>
        </w:rPr>
        <w:t>10.1环境风险管理目标</w:t>
      </w:r>
    </w:p>
    <w:p w14:paraId="5BA9C977">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环境风险管理目标是采用最低合理可行原则管控环境</w:t>
      </w:r>
      <w:r>
        <w:rPr>
          <w:rFonts w:cs="Times New Roman"/>
          <w:color w:val="000000" w:themeColor="text1"/>
          <w:spacing w:val="-2"/>
          <w:kern w:val="0"/>
          <w:szCs w:val="24"/>
          <w14:textFill>
            <w14:solidFill>
              <w14:schemeClr w14:val="tx1"/>
            </w14:solidFill>
          </w14:textFill>
        </w:rPr>
        <w:t>风险。采取的环境风险防范</w:t>
      </w:r>
      <w:r>
        <w:rPr>
          <w:rFonts w:cs="Times New Roman"/>
          <w:color w:val="000000" w:themeColor="text1"/>
          <w:spacing w:val="-1"/>
          <w:kern w:val="0"/>
          <w:szCs w:val="24"/>
          <w14:textFill>
            <w14:solidFill>
              <w14:schemeClr w14:val="tx1"/>
            </w14:solidFill>
          </w14:textFill>
        </w:rPr>
        <w:t>措施应与社会经济技术发展水平相适应，运用科学的技术手段</w:t>
      </w:r>
      <w:r>
        <w:rPr>
          <w:rFonts w:cs="Times New Roman"/>
          <w:color w:val="000000" w:themeColor="text1"/>
          <w:spacing w:val="-2"/>
          <w:kern w:val="0"/>
          <w:szCs w:val="24"/>
          <w14:textFill>
            <w14:solidFill>
              <w14:schemeClr w14:val="tx1"/>
            </w14:solidFill>
          </w14:textFill>
        </w:rPr>
        <w:t>和管理方法，对环境风</w:t>
      </w:r>
      <w:r>
        <w:rPr>
          <w:rFonts w:cs="Times New Roman"/>
          <w:color w:val="000000" w:themeColor="text1"/>
          <w:spacing w:val="-1"/>
          <w:kern w:val="0"/>
          <w:szCs w:val="24"/>
          <w14:textFill>
            <w14:solidFill>
              <w14:schemeClr w14:val="tx1"/>
            </w14:solidFill>
          </w14:textFill>
        </w:rPr>
        <w:t>险进行有效的预防、监控、响应。</w:t>
      </w:r>
    </w:p>
    <w:p w14:paraId="4E0FE81A">
      <w:pPr>
        <w:pStyle w:val="186"/>
        <w:ind w:firstLine="470"/>
        <w:rPr>
          <w:rFonts w:cs="Times New Roman"/>
          <w:color w:val="000000" w:themeColor="text1"/>
          <w:kern w:val="0"/>
          <w:szCs w:val="24"/>
          <w14:textFill>
            <w14:solidFill>
              <w14:schemeClr w14:val="tx1"/>
            </w14:solidFill>
          </w14:textFill>
        </w:rPr>
      </w:pPr>
      <w:r>
        <w:rPr>
          <w:rFonts w:cs="Times New Roman"/>
          <w:b/>
          <w:bCs/>
          <w:color w:val="000000" w:themeColor="text1"/>
          <w:spacing w:val="-3"/>
          <w:kern w:val="0"/>
          <w:szCs w:val="24"/>
          <w14:textFill>
            <w14:solidFill>
              <w14:schemeClr w14:val="tx1"/>
            </w14:solidFill>
          </w14:textFill>
        </w:rPr>
        <w:t>10.2环境风险防范措施</w:t>
      </w:r>
    </w:p>
    <w:p w14:paraId="3C09331E">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10.2.1大气环境风险防范</w:t>
      </w:r>
    </w:p>
    <w:p w14:paraId="1D3C8E5E">
      <w:pPr>
        <w:pStyle w:val="186"/>
        <w:ind w:firstLine="480"/>
        <w:rPr>
          <w:rFonts w:cs="Times New Roman"/>
          <w:color w:val="000000" w:themeColor="text1"/>
          <w:kern w:val="0"/>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"file:///C:\\Users\\HP\\AppData\\Roaming\\Microsoft\\Word\\10.2.1.1" </w:instrText>
      </w:r>
      <w:r>
        <w:rPr>
          <w:color w:val="000000" w:themeColor="text1"/>
          <w14:textFill>
            <w14:solidFill>
              <w14:schemeClr w14:val="tx1"/>
            </w14:solidFill>
          </w14:textFill>
        </w:rPr>
        <w:fldChar w:fldCharType="separate"/>
      </w:r>
      <w:r>
        <w:rPr>
          <w:rFonts w:cs="Times New Roman"/>
          <w:b/>
          <w:bCs/>
          <w:color w:val="000000" w:themeColor="text1"/>
          <w:spacing w:val="-4"/>
          <w:kern w:val="0"/>
          <w:szCs w:val="24"/>
          <w14:textFill>
            <w14:solidFill>
              <w14:schemeClr w14:val="tx1"/>
            </w14:solidFill>
          </w14:textFill>
        </w:rPr>
        <w:t>10.2.1.1</w:t>
      </w:r>
      <w:r>
        <w:rPr>
          <w:rFonts w:cs="Times New Roman"/>
          <w:b/>
          <w:bCs/>
          <w:color w:val="000000" w:themeColor="text1"/>
          <w:spacing w:val="-4"/>
          <w:kern w:val="0"/>
          <w:szCs w:val="24"/>
          <w14:textFill>
            <w14:solidFill>
              <w14:schemeClr w14:val="tx1"/>
            </w14:solidFill>
          </w14:textFill>
        </w:rPr>
        <w:fldChar w:fldCharType="end"/>
      </w:r>
      <w:r>
        <w:rPr>
          <w:rFonts w:cs="Times New Roman"/>
          <w:b/>
          <w:bCs/>
          <w:color w:val="000000" w:themeColor="text1"/>
          <w:spacing w:val="-4"/>
          <w:kern w:val="0"/>
          <w:szCs w:val="24"/>
          <w14:textFill>
            <w14:solidFill>
              <w14:schemeClr w14:val="tx1"/>
            </w14:solidFill>
          </w14:textFill>
        </w:rPr>
        <w:t>防范与减缓措施</w:t>
      </w:r>
    </w:p>
    <w:p w14:paraId="2AB498DC">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（1）管理方面的环境风险防范措施</w:t>
      </w:r>
    </w:p>
    <w:p w14:paraId="486C084C">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①制定严格的消防安全管理制度，安全生产责任制及安全奖惩制度，并组织专</w:t>
      </w:r>
      <w:r>
        <w:rPr>
          <w:rFonts w:cs="Times New Roman"/>
          <w:color w:val="000000" w:themeColor="text1"/>
          <w:spacing w:val="-4"/>
          <w:kern w:val="0"/>
          <w:szCs w:val="24"/>
          <w14:textFill>
            <w14:solidFill>
              <w14:schemeClr w14:val="tx1"/>
            </w14:solidFill>
          </w14:textFill>
        </w:rPr>
        <w:t>门人员进行监督、落实。</w:t>
      </w:r>
    </w:p>
    <w:p w14:paraId="2D4A5089">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②建立主要负责人的安全生产管理委员会，设置环保安全人员，并层层签订安</w:t>
      </w:r>
      <w:r>
        <w:rPr>
          <w:rFonts w:cs="Times New Roman"/>
          <w:color w:val="000000" w:themeColor="text1"/>
          <w:spacing w:val="-1"/>
          <w:kern w:val="0"/>
          <w:szCs w:val="24"/>
          <w14:textFill>
            <w14:solidFill>
              <w14:schemeClr w14:val="tx1"/>
            </w14:solidFill>
          </w14:textFill>
        </w:rPr>
        <w:t>全生产责任状。设立义务消防队、救护组和治安组，并在当地</w:t>
      </w:r>
      <w:r>
        <w:rPr>
          <w:rFonts w:cs="Times New Roman"/>
          <w:color w:val="000000" w:themeColor="text1"/>
          <w:spacing w:val="-2"/>
          <w:kern w:val="0"/>
          <w:szCs w:val="24"/>
          <w14:textFill>
            <w14:solidFill>
              <w14:schemeClr w14:val="tx1"/>
            </w14:solidFill>
          </w14:textFill>
        </w:rPr>
        <w:t>消防部门指导下，制定</w:t>
      </w:r>
      <w:r>
        <w:rPr>
          <w:rFonts w:cs="Times New Roman"/>
          <w:color w:val="000000" w:themeColor="text1"/>
          <w:spacing w:val="-1"/>
          <w:kern w:val="0"/>
          <w:szCs w:val="24"/>
          <w14:textFill>
            <w14:solidFill>
              <w14:schemeClr w14:val="tx1"/>
            </w14:solidFill>
          </w14:textFill>
        </w:rPr>
        <w:t>消防方案，定期进行消防演习。</w:t>
      </w:r>
    </w:p>
    <w:p w14:paraId="4EA915B6">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③认真组织学习安全基础知识和方法，做好职工安全教育和技术教育：认真执</w:t>
      </w:r>
      <w:r>
        <w:rPr>
          <w:rFonts w:cs="Times New Roman"/>
          <w:color w:val="000000" w:themeColor="text1"/>
          <w:spacing w:val="-1"/>
          <w:kern w:val="0"/>
          <w:szCs w:val="24"/>
          <w14:textFill>
            <w14:solidFill>
              <w14:schemeClr w14:val="tx1"/>
            </w14:solidFill>
          </w14:textFill>
        </w:rPr>
        <w:t>行各类操作规程文件，建立技术档案，进行定期性和</w:t>
      </w:r>
      <w:r>
        <w:rPr>
          <w:rFonts w:cs="Times New Roman"/>
          <w:color w:val="000000" w:themeColor="text1"/>
          <w:spacing w:val="-2"/>
          <w:kern w:val="0"/>
          <w:szCs w:val="24"/>
          <w14:textFill>
            <w14:solidFill>
              <w14:schemeClr w14:val="tx1"/>
            </w14:solidFill>
          </w14:textFill>
        </w:rPr>
        <w:t>经常性检查，把执行制度的好坏</w:t>
      </w:r>
      <w:r>
        <w:rPr>
          <w:rFonts w:cs="Times New Roman"/>
          <w:color w:val="000000" w:themeColor="text1"/>
          <w:spacing w:val="-1"/>
          <w:kern w:val="0"/>
          <w:szCs w:val="24"/>
          <w14:textFill>
            <w14:solidFill>
              <w14:schemeClr w14:val="tx1"/>
            </w14:solidFill>
          </w14:textFill>
        </w:rPr>
        <w:t>与当月和年终的安全考评结合起来。</w:t>
      </w:r>
    </w:p>
    <w:p w14:paraId="242C2DE7">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④做好安全检查与整改，公司职能人员坚持日巡检查，每月组织一次大的安全</w:t>
      </w:r>
      <w:r>
        <w:rPr>
          <w:rFonts w:cs="Times New Roman"/>
          <w:color w:val="000000" w:themeColor="text1"/>
          <w:spacing w:val="-1"/>
          <w:kern w:val="0"/>
          <w:szCs w:val="24"/>
          <w14:textFill>
            <w14:solidFill>
              <w14:schemeClr w14:val="tx1"/>
            </w14:solidFill>
          </w14:textFill>
        </w:rPr>
        <w:t>检查，对检查中发现的问题现场及时解决，对一些特殊的整</w:t>
      </w:r>
      <w:r>
        <w:rPr>
          <w:rFonts w:cs="Times New Roman"/>
          <w:color w:val="000000" w:themeColor="text1"/>
          <w:spacing w:val="-2"/>
          <w:kern w:val="0"/>
          <w:szCs w:val="24"/>
          <w14:textFill>
            <w14:solidFill>
              <w14:schemeClr w14:val="tx1"/>
            </w14:solidFill>
          </w14:textFill>
        </w:rPr>
        <w:t>改项目需由有关部门解</w:t>
      </w:r>
      <w:r>
        <w:rPr>
          <w:rFonts w:cs="Times New Roman"/>
          <w:color w:val="000000" w:themeColor="text1"/>
          <w:spacing w:val="-1"/>
          <w:kern w:val="0"/>
          <w:szCs w:val="24"/>
          <w14:textFill>
            <w14:solidFill>
              <w14:schemeClr w14:val="tx1"/>
            </w14:solidFill>
          </w14:textFill>
        </w:rPr>
        <w:t>决的，则由公司安全职能部门用“整改通知”形式下发执行。</w:t>
      </w:r>
    </w:p>
    <w:p w14:paraId="09B56FF8">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⑤设置消防报警器，设立直通外线的电话；发生事故时，及时报警，迅速通知</w:t>
      </w:r>
      <w:r>
        <w:rPr>
          <w:rFonts w:cs="Times New Roman"/>
          <w:color w:val="000000" w:themeColor="text1"/>
          <w:spacing w:val="-1"/>
          <w:kern w:val="0"/>
          <w:szCs w:val="24"/>
          <w14:textFill>
            <w14:solidFill>
              <w14:schemeClr w14:val="tx1"/>
            </w14:solidFill>
          </w14:textFill>
        </w:rPr>
        <w:t>本单位和邻近单位做好警戒。</w:t>
      </w:r>
    </w:p>
    <w:p w14:paraId="226FB673">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⑥运营后严格执行安全评价要求，严格遵守国家安全生产监督部门和相关行业</w:t>
      </w:r>
      <w:r>
        <w:rPr>
          <w:rFonts w:cs="Times New Roman"/>
          <w:color w:val="000000" w:themeColor="text1"/>
          <w:spacing w:val="-1"/>
          <w:kern w:val="0"/>
          <w:szCs w:val="24"/>
          <w14:textFill>
            <w14:solidFill>
              <w14:schemeClr w14:val="tx1"/>
            </w14:solidFill>
          </w14:textFill>
        </w:rPr>
        <w:t>安全管理的有关规定。对本单位的生产、储存装置每两年进行一次安全评价。</w:t>
      </w:r>
    </w:p>
    <w:p w14:paraId="230FE623">
      <w:pPr>
        <w:pStyle w:val="186"/>
        <w:ind w:firstLine="472"/>
        <w:rPr>
          <w:rFonts w:cs="Times New Roman"/>
          <w:color w:val="000000" w:themeColor="text1"/>
          <w:spacing w:val="-2"/>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（2）生产装置泄漏的风险防范措施</w:t>
      </w:r>
    </w:p>
    <w:p w14:paraId="345EE3B9">
      <w:pPr>
        <w:pStyle w:val="186"/>
        <w:ind w:firstLine="484"/>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①厂内建筑物、生产装置及管线按国家标准要求设置防雷、防静电设施。凡需</w:t>
      </w:r>
      <w:r>
        <w:rPr>
          <w:rFonts w:cs="Times New Roman"/>
          <w:color w:val="000000" w:themeColor="text1"/>
          <w:spacing w:val="-1"/>
          <w:kern w:val="0"/>
          <w:szCs w:val="24"/>
          <w14:textFill>
            <w14:solidFill>
              <w14:schemeClr w14:val="tx1"/>
            </w14:solidFill>
          </w14:textFill>
        </w:rPr>
        <w:t>要经常操作、检查的设备或其他主体均设有操作平台、梯子及</w:t>
      </w:r>
      <w:r>
        <w:rPr>
          <w:rFonts w:cs="Times New Roman"/>
          <w:color w:val="000000" w:themeColor="text1"/>
          <w:spacing w:val="-2"/>
          <w:kern w:val="0"/>
          <w:szCs w:val="24"/>
          <w14:textFill>
            <w14:solidFill>
              <w14:schemeClr w14:val="tx1"/>
            </w14:solidFill>
          </w14:textFill>
        </w:rPr>
        <w:t>操作护栏，在大型平台</w:t>
      </w:r>
      <w:r>
        <w:rPr>
          <w:rFonts w:cs="Times New Roman"/>
          <w:color w:val="000000" w:themeColor="text1"/>
          <w:spacing w:val="-5"/>
          <w:kern w:val="0"/>
          <w:szCs w:val="24"/>
          <w14:textFill>
            <w14:solidFill>
              <w14:schemeClr w14:val="tx1"/>
            </w14:solidFill>
          </w14:textFill>
        </w:rPr>
        <w:t>和框架上设有扶手、护栏等。各类防护设施均按</w:t>
      </w:r>
      <w:r>
        <w:rPr>
          <w:rFonts w:cs="Times New Roman"/>
          <w:color w:val="000000" w:themeColor="text1"/>
          <w:spacing w:val="-6"/>
          <w:kern w:val="0"/>
          <w:szCs w:val="24"/>
          <w14:textFill>
            <w14:solidFill>
              <w14:schemeClr w14:val="tx1"/>
            </w14:solidFill>
          </w14:textFill>
        </w:rPr>
        <w:t>国家或行业标准的有关规定进行设计。</w:t>
      </w:r>
      <w:r>
        <w:rPr>
          <w:rFonts w:cs="Times New Roman"/>
          <w:color w:val="000000" w:themeColor="text1"/>
          <w:spacing w:val="-1"/>
          <w:kern w:val="0"/>
          <w:szCs w:val="24"/>
          <w14:textFill>
            <w14:solidFill>
              <w14:schemeClr w14:val="tx1"/>
            </w14:solidFill>
          </w14:textFill>
        </w:rPr>
        <w:t>装置或系统工程的传动设备的外围按要求设置防护罩。</w:t>
      </w:r>
    </w:p>
    <w:p w14:paraId="3E8CB0E0">
      <w:pPr>
        <w:pStyle w:val="186"/>
        <w:ind w:firstLine="468"/>
        <w:rPr>
          <w:rFonts w:cs="Times New Roman"/>
          <w:color w:val="000000" w:themeColor="text1"/>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②选用质地优良、运行稳定可靠设备设施，同时对各种运行中的设备定期检查、</w:t>
      </w:r>
      <w:r>
        <w:rPr>
          <w:rFonts w:cs="Times New Roman"/>
          <w:color w:val="000000" w:themeColor="text1"/>
          <w:spacing w:val="-1"/>
          <w:kern w:val="0"/>
          <w:szCs w:val="24"/>
          <w14:textFill>
            <w14:solidFill>
              <w14:schemeClr w14:val="tx1"/>
            </w14:solidFill>
          </w14:textFill>
        </w:rPr>
        <w:t>维护，保证其正常运转，不发生设备故障及损坏。</w:t>
      </w:r>
    </w:p>
    <w:p w14:paraId="0080AD50">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③避免与酸类、碱类接触。搬运时要轻装轻卸</w:t>
      </w:r>
      <w:r>
        <w:rPr>
          <w:rFonts w:cs="Times New Roman"/>
          <w:color w:val="000000" w:themeColor="text1"/>
          <w:spacing w:val="1"/>
          <w:kern w:val="0"/>
          <w:szCs w:val="24"/>
          <w14:textFill>
            <w14:solidFill>
              <w14:schemeClr w14:val="tx1"/>
            </w14:solidFill>
          </w14:textFill>
        </w:rPr>
        <w:t>，防止包装及容器损坏。配备泄</w:t>
      </w:r>
      <w:r>
        <w:rPr>
          <w:rFonts w:cs="Times New Roman"/>
          <w:color w:val="000000" w:themeColor="text1"/>
          <w:spacing w:val="-1"/>
          <w:kern w:val="0"/>
          <w:szCs w:val="24"/>
          <w14:textFill>
            <w14:solidFill>
              <w14:schemeClr w14:val="tx1"/>
            </w14:solidFill>
          </w14:textFill>
        </w:rPr>
        <w:t>漏应急处理设备。倒空的容器可能残留有害物。</w:t>
      </w:r>
    </w:p>
    <w:p w14:paraId="17BA77BB">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④储存于阴凉、通风的库房。远离火种、热源。应与酸类</w:t>
      </w:r>
      <w:r>
        <w:rPr>
          <w:rFonts w:cs="Times New Roman"/>
          <w:color w:val="000000" w:themeColor="text1"/>
          <w:spacing w:val="1"/>
          <w:kern w:val="0"/>
          <w:szCs w:val="24"/>
          <w14:textFill>
            <w14:solidFill>
              <w14:schemeClr w14:val="tx1"/>
            </w14:solidFill>
          </w14:textFill>
        </w:rPr>
        <w:t>、碱类分开存放，切</w:t>
      </w:r>
      <w:r>
        <w:rPr>
          <w:rFonts w:cs="Times New Roman"/>
          <w:color w:val="000000" w:themeColor="text1"/>
          <w:spacing w:val="-1"/>
          <w:kern w:val="0"/>
          <w:szCs w:val="24"/>
          <w14:textFill>
            <w14:solidFill>
              <w14:schemeClr w14:val="tx1"/>
            </w14:solidFill>
          </w14:textFill>
        </w:rPr>
        <w:t>忌混储。储区应备有合适的材料收容泄漏物。</w:t>
      </w:r>
    </w:p>
    <w:p w14:paraId="141F9D40">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（3）硫酸铵泄漏的风险防范措施</w:t>
      </w:r>
    </w:p>
    <w:p w14:paraId="73AC0DFC">
      <w:pPr>
        <w:pStyle w:val="186"/>
        <w:ind w:firstLine="484"/>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①购买原料时务必检查好原料包装袋的完整性，如有发现破损须立即处理避免</w:t>
      </w:r>
      <w:r>
        <w:rPr>
          <w:rFonts w:cs="Times New Roman"/>
          <w:color w:val="000000" w:themeColor="text1"/>
          <w:spacing w:val="-2"/>
          <w:kern w:val="0"/>
          <w:szCs w:val="24"/>
          <w14:textFill>
            <w14:solidFill>
              <w14:schemeClr w14:val="tx1"/>
            </w14:solidFill>
          </w14:textFill>
        </w:rPr>
        <w:t>物料泄漏。</w:t>
      </w:r>
    </w:p>
    <w:p w14:paraId="7AB9FD0B">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②原料库房应与容易产生火源点的生产单相</w:t>
      </w:r>
      <w:r>
        <w:rPr>
          <w:rFonts w:cs="Times New Roman"/>
          <w:color w:val="000000" w:themeColor="text1"/>
          <w:spacing w:val="1"/>
          <w:kern w:val="0"/>
          <w:szCs w:val="24"/>
          <w14:textFill>
            <w14:solidFill>
              <w14:schemeClr w14:val="tx1"/>
            </w14:solidFill>
          </w14:textFill>
        </w:rPr>
        <w:t>分隔，同时日常生产运行期间，厂</w:t>
      </w:r>
      <w:r>
        <w:rPr>
          <w:rFonts w:cs="Times New Roman"/>
          <w:color w:val="000000" w:themeColor="text1"/>
          <w:spacing w:val="-2"/>
          <w:kern w:val="0"/>
          <w:szCs w:val="24"/>
          <w14:textFill>
            <w14:solidFill>
              <w14:schemeClr w14:val="tx1"/>
            </w14:solidFill>
          </w14:textFill>
        </w:rPr>
        <w:t>内生产区应严禁携带各种火种物品，切断一切火灾诱发源头。</w:t>
      </w:r>
    </w:p>
    <w:p w14:paraId="19DE2A1A">
      <w:pPr>
        <w:pStyle w:val="186"/>
        <w:ind w:firstLine="460"/>
        <w:rPr>
          <w:rFonts w:cs="Times New Roman"/>
          <w:color w:val="000000" w:themeColor="text1"/>
          <w:kern w:val="0"/>
          <w:szCs w:val="24"/>
          <w14:textFill>
            <w14:solidFill>
              <w14:schemeClr w14:val="tx1"/>
            </w14:solidFill>
          </w14:textFill>
        </w:rPr>
      </w:pPr>
      <w:r>
        <w:rPr>
          <w:rFonts w:cs="Times New Roman"/>
          <w:color w:val="000000" w:themeColor="text1"/>
          <w:spacing w:val="-5"/>
          <w:kern w:val="0"/>
          <w:szCs w:val="24"/>
          <w14:textFill>
            <w14:solidFill>
              <w14:schemeClr w14:val="tx1"/>
            </w14:solidFill>
          </w14:textFill>
        </w:rPr>
        <w:t>③发生泄漏时，隔离泄漏污染区，限制出入。建议应急处理人员戴防尘面具（全</w:t>
      </w:r>
      <w:r>
        <w:rPr>
          <w:rFonts w:cs="Times New Roman"/>
          <w:color w:val="000000" w:themeColor="text1"/>
          <w:spacing w:val="-2"/>
          <w:kern w:val="0"/>
          <w:szCs w:val="24"/>
          <w14:textFill>
            <w14:solidFill>
              <w14:schemeClr w14:val="tx1"/>
            </w14:solidFill>
          </w14:textFill>
        </w:rPr>
        <w:t>面罩</w:t>
      </w:r>
      <w:r>
        <w:rPr>
          <w:rFonts w:cs="Times New Roman"/>
          <w:color w:val="000000" w:themeColor="text1"/>
          <w:spacing w:val="11"/>
          <w:kern w:val="0"/>
          <w:szCs w:val="24"/>
          <w14:textFill>
            <w14:solidFill>
              <w14:schemeClr w14:val="tx1"/>
            </w14:solidFill>
          </w14:textFill>
        </w:rPr>
        <w:t>），</w:t>
      </w:r>
      <w:r>
        <w:rPr>
          <w:rFonts w:cs="Times New Roman"/>
          <w:color w:val="000000" w:themeColor="text1"/>
          <w:spacing w:val="-2"/>
          <w:kern w:val="0"/>
          <w:szCs w:val="24"/>
          <w14:textFill>
            <w14:solidFill>
              <w14:schemeClr w14:val="tx1"/>
            </w14:solidFill>
          </w14:textFill>
        </w:rPr>
        <w:t>穿防毒服。用洁净的铲子收集于干燥、洁净、有盖的容器中，转移至安全场</w:t>
      </w:r>
      <w:r>
        <w:rPr>
          <w:rFonts w:cs="Times New Roman"/>
          <w:color w:val="000000" w:themeColor="text1"/>
          <w:spacing w:val="-1"/>
          <w:kern w:val="0"/>
          <w:szCs w:val="24"/>
          <w14:textFill>
            <w14:solidFill>
              <w14:schemeClr w14:val="tx1"/>
            </w14:solidFill>
          </w14:textFill>
        </w:rPr>
        <w:t>所。若大量泄漏，收集回收或运至废物处理场所处置。</w:t>
      </w:r>
    </w:p>
    <w:p w14:paraId="7F13E5CD">
      <w:pPr>
        <w:pStyle w:val="186"/>
        <w:ind w:firstLine="480"/>
        <w:rPr>
          <w:rFonts w:cs="Times New Roman"/>
          <w:color w:val="000000" w:themeColor="text1"/>
          <w:kern w:val="0"/>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"file:///C:\\Users\\HP\\AppData\\Roaming\\Microsoft\\Word\\10.2.1.2" </w:instrText>
      </w:r>
      <w:r>
        <w:rPr>
          <w:color w:val="000000" w:themeColor="text1"/>
          <w14:textFill>
            <w14:solidFill>
              <w14:schemeClr w14:val="tx1"/>
            </w14:solidFill>
          </w14:textFill>
        </w:rPr>
        <w:fldChar w:fldCharType="separate"/>
      </w:r>
      <w:r>
        <w:rPr>
          <w:rFonts w:cs="Times New Roman"/>
          <w:b/>
          <w:bCs/>
          <w:color w:val="000000" w:themeColor="text1"/>
          <w:spacing w:val="-2"/>
          <w:kern w:val="0"/>
          <w:szCs w:val="24"/>
          <w14:textFill>
            <w14:solidFill>
              <w14:schemeClr w14:val="tx1"/>
            </w14:solidFill>
          </w14:textFill>
        </w:rPr>
        <w:t>10.2.1.2</w:t>
      </w:r>
      <w:r>
        <w:rPr>
          <w:rFonts w:cs="Times New Roman"/>
          <w:b/>
          <w:bCs/>
          <w:color w:val="000000" w:themeColor="text1"/>
          <w:spacing w:val="-2"/>
          <w:kern w:val="0"/>
          <w:szCs w:val="24"/>
          <w14:textFill>
            <w14:solidFill>
              <w14:schemeClr w14:val="tx1"/>
            </w14:solidFill>
          </w14:textFill>
        </w:rPr>
        <w:fldChar w:fldCharType="end"/>
      </w:r>
      <w:r>
        <w:rPr>
          <w:rFonts w:cs="Times New Roman"/>
          <w:b/>
          <w:bCs/>
          <w:color w:val="000000" w:themeColor="text1"/>
          <w:spacing w:val="-2"/>
          <w:kern w:val="0"/>
          <w:szCs w:val="24"/>
          <w14:textFill>
            <w14:solidFill>
              <w14:schemeClr w14:val="tx1"/>
            </w14:solidFill>
          </w14:textFill>
        </w:rPr>
        <w:t>环境风险监控要求</w:t>
      </w:r>
    </w:p>
    <w:p w14:paraId="4E7313F2">
      <w:pPr>
        <w:pStyle w:val="186"/>
        <w:ind w:firstLine="484"/>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（1）对项目主要风险源（原料库房、生产车间</w:t>
      </w:r>
      <w:r>
        <w:rPr>
          <w:rFonts w:cs="Times New Roman"/>
          <w:color w:val="000000" w:themeColor="text1"/>
          <w:spacing w:val="13"/>
          <w:kern w:val="0"/>
          <w:szCs w:val="24"/>
          <w14:textFill>
            <w14:solidFill>
              <w14:schemeClr w14:val="tx1"/>
            </w14:solidFill>
          </w14:textFill>
        </w:rPr>
        <w:t>），</w:t>
      </w:r>
      <w:r>
        <w:rPr>
          <w:rFonts w:cs="Times New Roman"/>
          <w:color w:val="000000" w:themeColor="text1"/>
          <w:spacing w:val="1"/>
          <w:kern w:val="0"/>
          <w:szCs w:val="24"/>
          <w14:textFill>
            <w14:solidFill>
              <w14:schemeClr w14:val="tx1"/>
            </w14:solidFill>
          </w14:textFill>
        </w:rPr>
        <w:t>车间及仓库负责人</w:t>
      </w:r>
      <w:r>
        <w:rPr>
          <w:rFonts w:cs="Times New Roman"/>
          <w:color w:val="000000" w:themeColor="text1"/>
          <w:spacing w:val="-1"/>
          <w:kern w:val="0"/>
          <w:szCs w:val="24"/>
          <w14:textFill>
            <w14:solidFill>
              <w14:schemeClr w14:val="tx1"/>
            </w14:solidFill>
          </w14:textFill>
        </w:rPr>
        <w:t>按照岗位责任制进行日常检查、监控职责，并做好检查记录，发</w:t>
      </w:r>
      <w:r>
        <w:rPr>
          <w:rFonts w:cs="Times New Roman"/>
          <w:color w:val="000000" w:themeColor="text1"/>
          <w:spacing w:val="-2"/>
          <w:kern w:val="0"/>
          <w:szCs w:val="24"/>
          <w14:textFill>
            <w14:solidFill>
              <w14:schemeClr w14:val="tx1"/>
            </w14:solidFill>
          </w14:textFill>
        </w:rPr>
        <w:t>现异常情况或突发事</w:t>
      </w:r>
      <w:r>
        <w:rPr>
          <w:rFonts w:cs="Times New Roman"/>
          <w:color w:val="000000" w:themeColor="text1"/>
          <w:spacing w:val="-1"/>
          <w:kern w:val="0"/>
          <w:szCs w:val="24"/>
          <w14:textFill>
            <w14:solidFill>
              <w14:schemeClr w14:val="tx1"/>
            </w14:solidFill>
          </w14:textFill>
        </w:rPr>
        <w:t>件立即进行处理并根据情况上报到公司应急指挥部。</w:t>
      </w:r>
    </w:p>
    <w:p w14:paraId="641C7575">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（2）建立公司、生产区、班组三级负责的监控方法，坚持</w:t>
      </w:r>
      <w:r>
        <w:rPr>
          <w:rFonts w:cs="Times New Roman"/>
          <w:color w:val="000000" w:themeColor="text1"/>
          <w:spacing w:val="1"/>
          <w:kern w:val="0"/>
          <w:szCs w:val="24"/>
          <w14:textFill>
            <w14:solidFill>
              <w14:schemeClr w14:val="tx1"/>
            </w14:solidFill>
          </w14:textFill>
        </w:rPr>
        <w:t>公司月检查、车间周</w:t>
      </w:r>
      <w:r>
        <w:rPr>
          <w:rFonts w:cs="Times New Roman"/>
          <w:color w:val="000000" w:themeColor="text1"/>
          <w:kern w:val="0"/>
          <w:szCs w:val="24"/>
          <w14:textFill>
            <w14:solidFill>
              <w14:schemeClr w14:val="tx1"/>
            </w14:solidFill>
          </w14:textFill>
        </w:rPr>
        <w:t>检查、班组日检查，对关键设备设施、仪器仪表、紧急切</w:t>
      </w:r>
      <w:r>
        <w:rPr>
          <w:rFonts w:cs="Times New Roman"/>
          <w:color w:val="000000" w:themeColor="text1"/>
          <w:spacing w:val="-1"/>
          <w:kern w:val="0"/>
          <w:szCs w:val="24"/>
          <w14:textFill>
            <w14:solidFill>
              <w14:schemeClr w14:val="tx1"/>
            </w14:solidFill>
          </w14:textFill>
        </w:rPr>
        <w:t>断装置的状态进行监控。</w:t>
      </w:r>
    </w:p>
    <w:p w14:paraId="3786E4F2">
      <w:pPr>
        <w:pStyle w:val="186"/>
        <w:ind w:firstLine="480"/>
        <w:rPr>
          <w:rFonts w:cs="Times New Roman"/>
          <w:color w:val="000000" w:themeColor="text1"/>
          <w:kern w:val="0"/>
          <w:szCs w:val="24"/>
          <w14:textFill>
            <w14:solidFill>
              <w14:schemeClr w14:val="tx1"/>
            </w14:solidFill>
          </w14:textFill>
        </w:rPr>
      </w:pPr>
      <w:r>
        <w:rPr>
          <w:rFonts w:cs="Times New Roman"/>
          <w:color w:val="000000" w:themeColor="text1"/>
          <w:kern w:val="0"/>
          <w:szCs w:val="24"/>
          <w14:textFill>
            <w14:solidFill>
              <w14:schemeClr w14:val="tx1"/>
            </w14:solidFill>
          </w14:textFill>
        </w:rPr>
        <w:t>（3）日常按巡检记录表、维修项目记录表、开停车记录和安全检查表、动态检</w:t>
      </w:r>
      <w:r>
        <w:rPr>
          <w:rFonts w:cs="Times New Roman"/>
          <w:color w:val="000000" w:themeColor="text1"/>
          <w:spacing w:val="-1"/>
          <w:kern w:val="0"/>
          <w:szCs w:val="24"/>
          <w14:textFill>
            <w14:solidFill>
              <w14:schemeClr w14:val="tx1"/>
            </w14:solidFill>
          </w14:textFill>
        </w:rPr>
        <w:t>查表等详细的监控检查清单，对主要工艺设备设施进行</w:t>
      </w:r>
      <w:r>
        <w:rPr>
          <w:rFonts w:cs="Times New Roman"/>
          <w:color w:val="000000" w:themeColor="text1"/>
          <w:spacing w:val="-2"/>
          <w:kern w:val="0"/>
          <w:szCs w:val="24"/>
          <w14:textFill>
            <w14:solidFill>
              <w14:schemeClr w14:val="tx1"/>
            </w14:solidFill>
          </w14:textFill>
        </w:rPr>
        <w:t>检查与定期维护。对于特种设</w:t>
      </w:r>
      <w:r>
        <w:rPr>
          <w:rFonts w:cs="Times New Roman"/>
          <w:color w:val="000000" w:themeColor="text1"/>
          <w:spacing w:val="-1"/>
          <w:kern w:val="0"/>
          <w:szCs w:val="24"/>
          <w14:textFill>
            <w14:solidFill>
              <w14:schemeClr w14:val="tx1"/>
            </w14:solidFill>
          </w14:textFill>
        </w:rPr>
        <w:t>备、设施、安全附件执行定期检验制度。</w:t>
      </w:r>
    </w:p>
    <w:p w14:paraId="43B22A9F">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（4）对于各工段车间、关键岗位设有应急处置措施标识牌。</w:t>
      </w:r>
    </w:p>
    <w:p w14:paraId="400D7652">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（5）定期做好监控设备设施的检查检测工作。</w:t>
      </w:r>
    </w:p>
    <w:p w14:paraId="0AD25E2C">
      <w:pPr>
        <w:pStyle w:val="186"/>
        <w:ind w:firstLine="488"/>
        <w:rPr>
          <w:rFonts w:cs="Times New Roman"/>
          <w:color w:val="000000" w:themeColor="text1"/>
          <w:spacing w:val="-2"/>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（6）建立出入登记制度，无关人员未经部门许可，不得进</w:t>
      </w:r>
      <w:r>
        <w:rPr>
          <w:rFonts w:cs="Times New Roman"/>
          <w:color w:val="000000" w:themeColor="text1"/>
          <w:spacing w:val="1"/>
          <w:kern w:val="0"/>
          <w:szCs w:val="24"/>
          <w14:textFill>
            <w14:solidFill>
              <w14:schemeClr w14:val="tx1"/>
            </w14:solidFill>
          </w14:textFill>
        </w:rPr>
        <w:t>入原料库等</w:t>
      </w:r>
      <w:r>
        <w:rPr>
          <w:rFonts w:cs="Times New Roman"/>
          <w:color w:val="000000" w:themeColor="text1"/>
          <w:spacing w:val="-2"/>
          <w:kern w:val="0"/>
          <w:szCs w:val="24"/>
          <w14:textFill>
            <w14:solidFill>
              <w14:schemeClr w14:val="tx1"/>
            </w14:solidFill>
          </w14:textFill>
        </w:rPr>
        <w:t>重要生产运行区。</w:t>
      </w:r>
    </w:p>
    <w:p w14:paraId="4AC67013">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（7）安环部门要经常深入现场进行监督、检查，并对有关</w:t>
      </w:r>
      <w:r>
        <w:rPr>
          <w:rFonts w:cs="Times New Roman"/>
          <w:color w:val="000000" w:themeColor="text1"/>
          <w:spacing w:val="1"/>
          <w:kern w:val="0"/>
          <w:szCs w:val="24"/>
          <w14:textFill>
            <w14:solidFill>
              <w14:schemeClr w14:val="tx1"/>
            </w14:solidFill>
          </w14:textFill>
        </w:rPr>
        <w:t>人员进行安全常识教</w:t>
      </w:r>
      <w:r>
        <w:rPr>
          <w:rFonts w:cs="Times New Roman"/>
          <w:color w:val="000000" w:themeColor="text1"/>
          <w:spacing w:val="-2"/>
          <w:kern w:val="0"/>
          <w:szCs w:val="24"/>
          <w14:textFill>
            <w14:solidFill>
              <w14:schemeClr w14:val="tx1"/>
            </w14:solidFill>
          </w14:textFill>
        </w:rPr>
        <w:t>育，发现问题及时提出整改意见。</w:t>
      </w:r>
    </w:p>
    <w:p w14:paraId="35A66EB1">
      <w:pPr>
        <w:pStyle w:val="186"/>
        <w:ind w:firstLine="480"/>
        <w:rPr>
          <w:rFonts w:cs="Times New Roman"/>
          <w:color w:val="000000" w:themeColor="text1"/>
          <w:szCs w:val="24"/>
          <w14:textFill>
            <w14:solidFill>
              <w14:schemeClr w14:val="tx1"/>
            </w14:solidFill>
          </w14:textFill>
        </w:rPr>
        <w:sectPr>
          <w:footerReference r:id="rId18" w:type="default"/>
          <w:pgSz w:w="11906" w:h="16839"/>
          <w:pgMar w:top="1431" w:right="1450" w:bottom="958" w:left="1539" w:header="0" w:footer="694" w:gutter="0"/>
          <w:cols w:space="720" w:num="1"/>
        </w:sectPr>
      </w:pPr>
    </w:p>
    <w:p w14:paraId="0C311A17">
      <w:pPr>
        <w:pStyle w:val="186"/>
        <w:ind w:firstLine="480"/>
        <w:rPr>
          <w:rFonts w:cs="Times New Roman"/>
          <w:color w:val="000000" w:themeColor="text1"/>
          <w:kern w:val="0"/>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"file:///C:\\Users\\HP\\AppData\\Roaming\\Microsoft\\Word\\10.2.1.3" </w:instrText>
      </w:r>
      <w:r>
        <w:rPr>
          <w:color w:val="000000" w:themeColor="text1"/>
          <w14:textFill>
            <w14:solidFill>
              <w14:schemeClr w14:val="tx1"/>
            </w14:solidFill>
          </w14:textFill>
        </w:rPr>
        <w:fldChar w:fldCharType="separate"/>
      </w:r>
      <w:r>
        <w:rPr>
          <w:rFonts w:cs="Times New Roman"/>
          <w:b/>
          <w:bCs/>
          <w:color w:val="000000" w:themeColor="text1"/>
          <w:spacing w:val="-2"/>
          <w:kern w:val="0"/>
          <w:szCs w:val="24"/>
          <w14:textFill>
            <w14:solidFill>
              <w14:schemeClr w14:val="tx1"/>
            </w14:solidFill>
          </w14:textFill>
        </w:rPr>
        <w:t>10.2.1.3</w:t>
      </w:r>
      <w:r>
        <w:rPr>
          <w:rFonts w:cs="Times New Roman"/>
          <w:b/>
          <w:bCs/>
          <w:color w:val="000000" w:themeColor="text1"/>
          <w:spacing w:val="-2"/>
          <w:kern w:val="0"/>
          <w:szCs w:val="24"/>
          <w14:textFill>
            <w14:solidFill>
              <w14:schemeClr w14:val="tx1"/>
            </w14:solidFill>
          </w14:textFill>
        </w:rPr>
        <w:fldChar w:fldCharType="end"/>
      </w:r>
      <w:r>
        <w:rPr>
          <w:rFonts w:cs="Times New Roman"/>
          <w:b/>
          <w:bCs/>
          <w:color w:val="000000" w:themeColor="text1"/>
          <w:spacing w:val="-2"/>
          <w:kern w:val="0"/>
          <w:szCs w:val="24"/>
          <w14:textFill>
            <w14:solidFill>
              <w14:schemeClr w14:val="tx1"/>
            </w14:solidFill>
          </w14:textFill>
        </w:rPr>
        <w:t>疏散及安置应急建议</w:t>
      </w:r>
    </w:p>
    <w:p w14:paraId="4C835D55">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根据大气环境风险计算结果，最不利气象条件下，本项目硫酸铵发生泄漏后，如突发火灾，硫酸铵分解产生的氨气、和二氧化硫在5km评价范围内最大落地浓度均不超标。</w:t>
      </w:r>
    </w:p>
    <w:p w14:paraId="379250F7">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根据预测结果，发生事故时，厂区以生产装置为中心，780m范围内</w:t>
      </w:r>
      <w:r>
        <w:rPr>
          <w:rFonts w:cs="Times New Roman"/>
          <w:color w:val="000000" w:themeColor="text1"/>
          <w:spacing w:val="-1"/>
          <w:kern w:val="0"/>
          <w:szCs w:val="24"/>
          <w14:textFill>
            <w14:solidFill>
              <w14:schemeClr w14:val="tx1"/>
            </w14:solidFill>
          </w14:textFill>
        </w:rPr>
        <w:t>人员均应及时疏散。现场紧急撤离时，应按照事故现场风向</w:t>
      </w:r>
      <w:r>
        <w:rPr>
          <w:rFonts w:cs="Times New Roman"/>
          <w:color w:val="000000" w:themeColor="text1"/>
          <w:spacing w:val="-2"/>
          <w:kern w:val="0"/>
          <w:szCs w:val="24"/>
          <w14:textFill>
            <w14:solidFill>
              <w14:schemeClr w14:val="tx1"/>
            </w14:solidFill>
          </w14:textFill>
        </w:rPr>
        <w:t>、周边居民分布及公众对</w:t>
      </w:r>
      <w:r>
        <w:rPr>
          <w:rFonts w:cs="Times New Roman"/>
          <w:color w:val="000000" w:themeColor="text1"/>
          <w:spacing w:val="-1"/>
          <w:kern w:val="0"/>
          <w:szCs w:val="24"/>
          <w14:textFill>
            <w14:solidFill>
              <w14:schemeClr w14:val="tx1"/>
            </w14:solidFill>
          </w14:textFill>
        </w:rPr>
        <w:t>毒物应急剂量控制的规定，制定人员紧急撤离、疏散计划和</w:t>
      </w:r>
      <w:r>
        <w:rPr>
          <w:rFonts w:cs="Times New Roman"/>
          <w:color w:val="000000" w:themeColor="text1"/>
          <w:spacing w:val="-2"/>
          <w:kern w:val="0"/>
          <w:szCs w:val="24"/>
          <w14:textFill>
            <w14:solidFill>
              <w14:schemeClr w14:val="tx1"/>
            </w14:solidFill>
          </w14:textFill>
        </w:rPr>
        <w:t>医疗救护方案。同时厂内</w:t>
      </w:r>
      <w:r>
        <w:rPr>
          <w:rFonts w:cs="Times New Roman"/>
          <w:color w:val="000000" w:themeColor="text1"/>
          <w:spacing w:val="-1"/>
          <w:kern w:val="0"/>
          <w:szCs w:val="24"/>
          <w14:textFill>
            <w14:solidFill>
              <w14:schemeClr w14:val="tx1"/>
            </w14:solidFill>
          </w14:textFill>
        </w:rPr>
        <w:t>需要在高点设立明显的风向标，确定安全疏散路线。事故发</w:t>
      </w:r>
      <w:r>
        <w:rPr>
          <w:rFonts w:cs="Times New Roman"/>
          <w:color w:val="000000" w:themeColor="text1"/>
          <w:spacing w:val="-2"/>
          <w:kern w:val="0"/>
          <w:szCs w:val="24"/>
          <w14:textFill>
            <w14:solidFill>
              <w14:schemeClr w14:val="tx1"/>
            </w14:solidFill>
          </w14:textFill>
        </w:rPr>
        <w:t>生后，应根据火势的扩散</w:t>
      </w:r>
      <w:r>
        <w:rPr>
          <w:rFonts w:cs="Times New Roman"/>
          <w:color w:val="000000" w:themeColor="text1"/>
          <w:spacing w:val="-1"/>
          <w:kern w:val="0"/>
          <w:szCs w:val="24"/>
          <w14:textFill>
            <w14:solidFill>
              <w14:schemeClr w14:val="tx1"/>
            </w14:solidFill>
          </w14:textFill>
        </w:rPr>
        <w:t>情况及时通知政府相关部门，并通过厂区高音喇叭通知周边</w:t>
      </w:r>
      <w:r>
        <w:rPr>
          <w:rFonts w:cs="Times New Roman"/>
          <w:color w:val="000000" w:themeColor="text1"/>
          <w:spacing w:val="-2"/>
          <w:kern w:val="0"/>
          <w:szCs w:val="24"/>
          <w14:textFill>
            <w14:solidFill>
              <w14:schemeClr w14:val="tx1"/>
            </w14:solidFill>
          </w14:textFill>
        </w:rPr>
        <w:t>人群及时疏散。紧急疏散</w:t>
      </w:r>
      <w:r>
        <w:rPr>
          <w:rFonts w:cs="Times New Roman"/>
          <w:color w:val="000000" w:themeColor="text1"/>
          <w:spacing w:val="-3"/>
          <w:kern w:val="0"/>
          <w:szCs w:val="24"/>
          <w14:textFill>
            <w14:solidFill>
              <w14:schemeClr w14:val="tx1"/>
            </w14:solidFill>
          </w14:textFill>
        </w:rPr>
        <w:t>时应注意：</w:t>
      </w:r>
    </w:p>
    <w:p w14:paraId="798349A4">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1）必要时采取佩戴呼吸器具、佩戴个人防</w:t>
      </w:r>
      <w:r>
        <w:rPr>
          <w:rFonts w:cs="Times New Roman"/>
          <w:color w:val="000000" w:themeColor="text1"/>
          <w:spacing w:val="1"/>
          <w:kern w:val="0"/>
          <w:szCs w:val="24"/>
          <w14:textFill>
            <w14:solidFill>
              <w14:schemeClr w14:val="tx1"/>
            </w14:solidFill>
          </w14:textFill>
        </w:rPr>
        <w:t>护用品或采用其他简易有效的防护措</w:t>
      </w:r>
      <w:r>
        <w:rPr>
          <w:rFonts w:cs="Times New Roman"/>
          <w:color w:val="000000" w:themeColor="text1"/>
          <w:spacing w:val="-1"/>
          <w:kern w:val="0"/>
          <w:szCs w:val="24"/>
          <w14:textFill>
            <w14:solidFill>
              <w14:schemeClr w14:val="tx1"/>
            </w14:solidFill>
          </w14:textFill>
        </w:rPr>
        <w:t>施（戴防护眼镜或用浸湿毛巾捂住口鼻、减少皮肤外露等各种措</w:t>
      </w:r>
      <w:r>
        <w:rPr>
          <w:rFonts w:cs="Times New Roman"/>
          <w:color w:val="000000" w:themeColor="text1"/>
          <w:spacing w:val="-2"/>
          <w:kern w:val="0"/>
          <w:szCs w:val="24"/>
          <w14:textFill>
            <w14:solidFill>
              <w14:schemeClr w14:val="tx1"/>
            </w14:solidFill>
          </w14:textFill>
        </w:rPr>
        <w:t>施进行自身防护）。</w:t>
      </w:r>
    </w:p>
    <w:p w14:paraId="774EB0E4">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2）应向上风向、高地势转移，迅速撤出危险区域可能受到危害的人员（在上风</w:t>
      </w:r>
      <w:r>
        <w:rPr>
          <w:rFonts w:cs="Times New Roman"/>
          <w:color w:val="000000" w:themeColor="text1"/>
          <w:spacing w:val="-1"/>
          <w:kern w:val="0"/>
          <w:szCs w:val="24"/>
          <w14:textFill>
            <w14:solidFill>
              <w14:schemeClr w14:val="tx1"/>
            </w14:solidFill>
          </w14:textFill>
        </w:rPr>
        <w:t>向无撤离通道时，也应避免沿下风向撤离</w:t>
      </w:r>
      <w:r>
        <w:rPr>
          <w:rFonts w:cs="Times New Roman"/>
          <w:color w:val="000000" w:themeColor="text1"/>
          <w:spacing w:val="-5"/>
          <w:kern w:val="0"/>
          <w:szCs w:val="24"/>
          <w14:textFill>
            <w14:solidFill>
              <w14:schemeClr w14:val="tx1"/>
            </w14:solidFill>
          </w14:textFill>
        </w:rPr>
        <w:t>），</w:t>
      </w:r>
      <w:r>
        <w:rPr>
          <w:rFonts w:cs="Times New Roman"/>
          <w:color w:val="000000" w:themeColor="text1"/>
          <w:spacing w:val="-1"/>
          <w:kern w:val="0"/>
          <w:szCs w:val="24"/>
          <w14:textFill>
            <w14:solidFill>
              <w14:schemeClr w14:val="tx1"/>
            </w14:solidFill>
          </w14:textFill>
        </w:rPr>
        <w:t>并由专人引导和护送疏散人员</w:t>
      </w:r>
      <w:r>
        <w:rPr>
          <w:rFonts w:cs="Times New Roman"/>
          <w:color w:val="000000" w:themeColor="text1"/>
          <w:spacing w:val="-2"/>
          <w:kern w:val="0"/>
          <w:szCs w:val="24"/>
          <w14:textFill>
            <w14:solidFill>
              <w14:schemeClr w14:val="tx1"/>
            </w14:solidFill>
          </w14:textFill>
        </w:rPr>
        <w:t>到安全区</w:t>
      </w:r>
      <w:r>
        <w:rPr>
          <w:rFonts w:cs="Times New Roman"/>
          <w:color w:val="000000" w:themeColor="text1"/>
          <w:spacing w:val="-1"/>
          <w:kern w:val="0"/>
          <w:szCs w:val="24"/>
          <w14:textFill>
            <w14:solidFill>
              <w14:schemeClr w14:val="tx1"/>
            </w14:solidFill>
          </w14:textFill>
        </w:rPr>
        <w:t>域，在疏散或撤离的路线上设立哨位，指明疏散、撤离的方向。</w:t>
      </w:r>
    </w:p>
    <w:p w14:paraId="3D348FC2">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3）按照设定的危险区域，设立警戒线，并在通往事故现场的主要干道上实行交</w:t>
      </w:r>
      <w:r>
        <w:rPr>
          <w:rFonts w:cs="Times New Roman"/>
          <w:color w:val="000000" w:themeColor="text1"/>
          <w:spacing w:val="-3"/>
          <w:kern w:val="0"/>
          <w:szCs w:val="24"/>
          <w14:textFill>
            <w14:solidFill>
              <w14:schemeClr w14:val="tx1"/>
            </w14:solidFill>
          </w14:textFill>
        </w:rPr>
        <w:t>通管制。</w:t>
      </w:r>
    </w:p>
    <w:p w14:paraId="1502A43F">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4）在污染区域和可能污染区域立即进行布点监测，根据监测数据及时调整疏散</w:t>
      </w:r>
      <w:r>
        <w:rPr>
          <w:rFonts w:cs="Times New Roman"/>
          <w:color w:val="000000" w:themeColor="text1"/>
          <w:spacing w:val="-6"/>
          <w:kern w:val="0"/>
          <w:szCs w:val="24"/>
          <w14:textFill>
            <w14:solidFill>
              <w14:schemeClr w14:val="tx1"/>
            </w14:solidFill>
          </w14:textFill>
        </w:rPr>
        <w:t>范围。</w:t>
      </w:r>
    </w:p>
    <w:p w14:paraId="7C939CC0">
      <w:pPr>
        <w:pStyle w:val="186"/>
        <w:ind w:firstLine="488"/>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5）为受灾群众提供避难场所以及必要的基本生活保障，配合政府部门进行受灾</w:t>
      </w:r>
      <w:r>
        <w:rPr>
          <w:rFonts w:cs="Times New Roman"/>
          <w:color w:val="000000" w:themeColor="text1"/>
          <w:spacing w:val="-1"/>
          <w:kern w:val="0"/>
          <w:szCs w:val="24"/>
          <w14:textFill>
            <w14:solidFill>
              <w14:schemeClr w14:val="tx1"/>
            </w14:solidFill>
          </w14:textFill>
        </w:rPr>
        <w:t>群众的医疗救助、疾病控制、生活救助。</w:t>
      </w:r>
    </w:p>
    <w:p w14:paraId="56AF0CD3">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10.2.2事故废水环境风险防范</w:t>
      </w:r>
    </w:p>
    <w:p w14:paraId="1B21A7A7">
      <w:pPr>
        <w:pStyle w:val="186"/>
        <w:ind w:firstLine="468"/>
        <w:rPr>
          <w:rFonts w:cs="Times New Roman"/>
          <w:color w:val="000000" w:themeColor="text1"/>
          <w:spacing w:val="-3"/>
          <w:kern w:val="0"/>
          <w:szCs w:val="24"/>
          <w14:textFill>
            <w14:solidFill>
              <w14:schemeClr w14:val="tx1"/>
            </w14:solidFill>
          </w14:textFill>
        </w:rPr>
      </w:pPr>
      <w:bookmarkStart w:id="137" w:name="OLE_LINK5"/>
      <w:r>
        <w:rPr>
          <w:rFonts w:cs="Times New Roman"/>
          <w:color w:val="000000" w:themeColor="text1"/>
          <w:spacing w:val="-3"/>
          <w:kern w:val="0"/>
          <w:szCs w:val="24"/>
          <w14:textFill>
            <w14:solidFill>
              <w14:schemeClr w14:val="tx1"/>
            </w14:solidFill>
          </w14:textFill>
        </w:rPr>
        <w:t>本项目不存在地表水水环境污染途径。</w:t>
      </w:r>
    </w:p>
    <w:p w14:paraId="7D8DD4D3">
      <w:pPr>
        <w:pStyle w:val="186"/>
        <w:ind w:firstLine="480"/>
        <w:rPr>
          <w:rFonts w:cs="Times New Roman"/>
          <w:color w:val="000000" w:themeColor="text1"/>
          <w:kern w:val="0"/>
          <w:szCs w:val="24"/>
          <w14:textFill>
            <w14:solidFill>
              <w14:schemeClr w14:val="tx1"/>
            </w14:solidFill>
          </w14:textFill>
        </w:rPr>
      </w:pPr>
      <w:r>
        <w:rPr>
          <w:rFonts w:cs="Times New Roman"/>
          <w:snapToGrid/>
          <w:color w:val="000000" w:themeColor="text1"/>
          <w:kern w:val="0"/>
          <w:szCs w:val="21"/>
          <w14:textFill>
            <w14:solidFill>
              <w14:schemeClr w14:val="tx1"/>
            </w14:solidFill>
          </w14:textFill>
        </w:rPr>
        <w:t>硫酸铵存入全密闭库房无地下水环境的污染途径。</w:t>
      </w:r>
    </w:p>
    <w:bookmarkEnd w:id="137"/>
    <w:p w14:paraId="4027D167">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10.2.3地下水环境风险防范</w:t>
      </w:r>
    </w:p>
    <w:p w14:paraId="46A174BB">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针对项目可能发生的地下水污染，按照“源头控制、分区防治、污染监控、应急响应”相结合的原则提出项目地下水污染防治措施。</w:t>
      </w:r>
    </w:p>
    <w:p w14:paraId="496E476B">
      <w:pPr>
        <w:pStyle w:val="186"/>
        <w:ind w:firstLine="462"/>
        <w:rPr>
          <w:rFonts w:cs="Times New Roman"/>
          <w:color w:val="000000" w:themeColor="text1"/>
          <w:kern w:val="0"/>
          <w:szCs w:val="24"/>
          <w14:textFill>
            <w14:solidFill>
              <w14:schemeClr w14:val="tx1"/>
            </w14:solidFill>
          </w14:textFill>
        </w:rPr>
      </w:pPr>
      <w:r>
        <w:rPr>
          <w:rFonts w:cs="Times New Roman"/>
          <w:b/>
          <w:bCs/>
          <w:color w:val="000000" w:themeColor="text1"/>
          <w:spacing w:val="-5"/>
          <w:kern w:val="0"/>
          <w:szCs w:val="24"/>
          <w14:textFill>
            <w14:solidFill>
              <w14:schemeClr w14:val="tx1"/>
            </w14:solidFill>
          </w14:textFill>
        </w:rPr>
        <w:t>（1）源头控制措施</w:t>
      </w:r>
    </w:p>
    <w:p w14:paraId="5CD51B18">
      <w:pPr>
        <w:pStyle w:val="186"/>
        <w:ind w:firstLine="504"/>
        <w:rPr>
          <w:rFonts w:cs="Times New Roman"/>
          <w:color w:val="000000" w:themeColor="text1"/>
          <w:kern w:val="0"/>
          <w:szCs w:val="24"/>
          <w14:textFill>
            <w14:solidFill>
              <w14:schemeClr w14:val="tx1"/>
            </w14:solidFill>
          </w14:textFill>
        </w:rPr>
      </w:pPr>
      <w:r>
        <w:rPr>
          <w:rFonts w:cs="Times New Roman"/>
          <w:color w:val="000000" w:themeColor="text1"/>
          <w:spacing w:val="6"/>
          <w:kern w:val="0"/>
          <w:szCs w:val="24"/>
          <w14:textFill>
            <w14:solidFill>
              <w14:schemeClr w14:val="tx1"/>
            </w14:solidFill>
          </w14:textFill>
        </w:rPr>
        <w:t>项目应对产生的废水进行合理的回用和治理</w:t>
      </w:r>
      <w:r>
        <w:rPr>
          <w:rFonts w:cs="Times New Roman"/>
          <w:color w:val="000000" w:themeColor="text1"/>
          <w:spacing w:val="5"/>
          <w:kern w:val="0"/>
          <w:szCs w:val="24"/>
          <w14:textFill>
            <w14:solidFill>
              <w14:schemeClr w14:val="tx1"/>
            </w14:solidFill>
          </w14:textFill>
        </w:rPr>
        <w:t>，以尽可能从源头上减少污染物排</w:t>
      </w:r>
      <w:r>
        <w:rPr>
          <w:rFonts w:cs="Times New Roman"/>
          <w:color w:val="000000" w:themeColor="text1"/>
          <w:spacing w:val="-1"/>
          <w:kern w:val="0"/>
          <w:szCs w:val="24"/>
          <w14:textFill>
            <w14:solidFill>
              <w14:schemeClr w14:val="tx1"/>
            </w14:solidFill>
          </w14:textFill>
        </w:rPr>
        <w:t>放；严格按照国家相关规范要求，对工艺、管道、设备、</w:t>
      </w:r>
      <w:r>
        <w:rPr>
          <w:rFonts w:cs="Times New Roman"/>
          <w:color w:val="000000" w:themeColor="text1"/>
          <w:spacing w:val="-2"/>
          <w:kern w:val="0"/>
          <w:szCs w:val="24"/>
          <w14:textFill>
            <w14:solidFill>
              <w14:schemeClr w14:val="tx1"/>
            </w14:solidFill>
          </w14:textFill>
        </w:rPr>
        <w:t>污水储存及处理构筑物采取</w:t>
      </w:r>
      <w:r>
        <w:rPr>
          <w:rFonts w:cs="Times New Roman"/>
          <w:color w:val="000000" w:themeColor="text1"/>
          <w:spacing w:val="-1"/>
          <w:kern w:val="0"/>
          <w:szCs w:val="24"/>
          <w14:textFill>
            <w14:solidFill>
              <w14:schemeClr w14:val="tx1"/>
            </w14:solidFill>
          </w14:textFill>
        </w:rPr>
        <w:t>相应的措施，以防止和降低污染物的跑、冒、滴、漏，将</w:t>
      </w:r>
      <w:r>
        <w:rPr>
          <w:rFonts w:cs="Times New Roman"/>
          <w:color w:val="000000" w:themeColor="text1"/>
          <w:spacing w:val="-2"/>
          <w:kern w:val="0"/>
          <w:szCs w:val="24"/>
          <w14:textFill>
            <w14:solidFill>
              <w14:schemeClr w14:val="tx1"/>
            </w14:solidFill>
          </w14:textFill>
        </w:rPr>
        <w:t>污染物泄漏的环境风险事故降低到最低程度；优化排水系统设计，废水排水管线敷设尽量采用“可视</w:t>
      </w:r>
      <w:r>
        <w:rPr>
          <w:rFonts w:cs="Times New Roman"/>
          <w:color w:val="000000" w:themeColor="text1"/>
          <w:spacing w:val="-3"/>
          <w:kern w:val="0"/>
          <w:szCs w:val="24"/>
          <w14:textFill>
            <w14:solidFill>
              <w14:schemeClr w14:val="tx1"/>
            </w14:solidFill>
          </w14:textFill>
        </w:rPr>
        <w:t>化”原则，</w:t>
      </w:r>
      <w:r>
        <w:rPr>
          <w:rFonts w:cs="Times New Roman"/>
          <w:color w:val="000000" w:themeColor="text1"/>
          <w:spacing w:val="-2"/>
          <w:kern w:val="0"/>
          <w:szCs w:val="24"/>
          <w14:textFill>
            <w14:solidFill>
              <w14:schemeClr w14:val="tx1"/>
            </w14:solidFill>
          </w14:textFill>
        </w:rPr>
        <w:t>即管道尽可能为地上明管，做到污染物“早发现、早处理”，以减少</w:t>
      </w:r>
      <w:r>
        <w:rPr>
          <w:rFonts w:cs="Times New Roman"/>
          <w:color w:val="000000" w:themeColor="text1"/>
          <w:spacing w:val="-3"/>
          <w:kern w:val="0"/>
          <w:szCs w:val="24"/>
          <w14:textFill>
            <w14:solidFill>
              <w14:schemeClr w14:val="tx1"/>
            </w14:solidFill>
          </w14:textFill>
        </w:rPr>
        <w:t>由于埋地管道泄</w:t>
      </w:r>
      <w:r>
        <w:rPr>
          <w:rFonts w:cs="Times New Roman"/>
          <w:color w:val="000000" w:themeColor="text1"/>
          <w:kern w:val="0"/>
          <w:szCs w:val="24"/>
          <w14:textFill>
            <w14:solidFill>
              <w14:schemeClr w14:val="tx1"/>
            </w14:solidFill>
          </w14:textFill>
        </w:rPr>
        <w:t>漏而可能造成的地下水污染</w:t>
      </w:r>
      <w:r>
        <w:rPr>
          <w:rFonts w:cs="Times New Roman"/>
          <w:color w:val="000000" w:themeColor="text1"/>
          <w:spacing w:val="-1"/>
          <w:kern w:val="0"/>
          <w:szCs w:val="24"/>
          <w14:textFill>
            <w14:solidFill>
              <w14:schemeClr w14:val="tx1"/>
            </w14:solidFill>
          </w14:textFill>
        </w:rPr>
        <w:t>。</w:t>
      </w:r>
    </w:p>
    <w:p w14:paraId="1DFB5F96">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生产装置区域内易产生泄漏的设备尽可能按其物</w:t>
      </w:r>
      <w:r>
        <w:rPr>
          <w:rFonts w:cs="Times New Roman"/>
          <w:color w:val="000000" w:themeColor="text1"/>
          <w:spacing w:val="-2"/>
          <w:kern w:val="0"/>
          <w:szCs w:val="24"/>
          <w14:textFill>
            <w14:solidFill>
              <w14:schemeClr w14:val="tx1"/>
            </w14:solidFill>
          </w14:textFill>
        </w:rPr>
        <w:t>料的物性分类集中布置，对于不</w:t>
      </w:r>
      <w:r>
        <w:rPr>
          <w:rFonts w:cs="Times New Roman"/>
          <w:color w:val="000000" w:themeColor="text1"/>
          <w:spacing w:val="-1"/>
          <w:kern w:val="0"/>
          <w:szCs w:val="24"/>
          <w14:textFill>
            <w14:solidFill>
              <w14:schemeClr w14:val="tx1"/>
            </w14:solidFill>
          </w14:textFill>
        </w:rPr>
        <w:t>同物料性质的区域，分别设置围堰，围堰内设置排水地漏，</w:t>
      </w:r>
      <w:r>
        <w:rPr>
          <w:rFonts w:cs="Times New Roman"/>
          <w:color w:val="000000" w:themeColor="text1"/>
          <w:spacing w:val="-2"/>
          <w:kern w:val="0"/>
          <w:szCs w:val="24"/>
          <w14:textFill>
            <w14:solidFill>
              <w14:schemeClr w14:val="tx1"/>
            </w14:solidFill>
          </w14:textFill>
        </w:rPr>
        <w:t>分类收集围堰内的排水，</w:t>
      </w:r>
      <w:r>
        <w:rPr>
          <w:rFonts w:cs="Times New Roman"/>
          <w:color w:val="000000" w:themeColor="text1"/>
          <w:spacing w:val="-1"/>
          <w:kern w:val="0"/>
          <w:szCs w:val="24"/>
          <w14:textFill>
            <w14:solidFill>
              <w14:schemeClr w14:val="tx1"/>
            </w14:solidFill>
          </w14:textFill>
        </w:rPr>
        <w:t>围堰地面采用防渗材料铺砌；设备及管道排放出的各种含有</w:t>
      </w:r>
      <w:r>
        <w:rPr>
          <w:rFonts w:cs="Times New Roman"/>
          <w:color w:val="000000" w:themeColor="text1"/>
          <w:spacing w:val="-2"/>
          <w:kern w:val="0"/>
          <w:szCs w:val="24"/>
          <w14:textFill>
            <w14:solidFill>
              <w14:schemeClr w14:val="tx1"/>
            </w14:solidFill>
          </w14:textFill>
        </w:rPr>
        <w:t>毒、有害介质的液体设置</w:t>
      </w:r>
      <w:r>
        <w:rPr>
          <w:rFonts w:cs="Times New Roman"/>
          <w:color w:val="000000" w:themeColor="text1"/>
          <w:spacing w:val="-1"/>
          <w:kern w:val="0"/>
          <w:szCs w:val="24"/>
          <w14:textFill>
            <w14:solidFill>
              <w14:schemeClr w14:val="tx1"/>
            </w14:solidFill>
          </w14:textFill>
        </w:rPr>
        <w:t>专门的废液收集系统，并设置在装置界区以内。</w:t>
      </w:r>
    </w:p>
    <w:p w14:paraId="74B8181A">
      <w:pPr>
        <w:pStyle w:val="186"/>
        <w:ind w:firstLine="468"/>
        <w:rPr>
          <w:rFonts w:cs="Times New Roman"/>
          <w:color w:val="000000" w:themeColor="text1"/>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（2）分区防治措施</w:t>
      </w:r>
    </w:p>
    <w:p w14:paraId="6CACADC1">
      <w:pPr>
        <w:pStyle w:val="186"/>
        <w:ind w:firstLine="476"/>
        <w:rPr>
          <w:rFonts w:cs="Times New Roman"/>
          <w:color w:val="000000" w:themeColor="text1"/>
          <w:spacing w:val="-3"/>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依据厂区可能泄漏至地面区域污染物的性质和生</w:t>
      </w:r>
      <w:r>
        <w:rPr>
          <w:rFonts w:cs="Times New Roman"/>
          <w:color w:val="000000" w:themeColor="text1"/>
          <w:spacing w:val="-2"/>
          <w:kern w:val="0"/>
          <w:szCs w:val="24"/>
          <w14:textFill>
            <w14:solidFill>
              <w14:schemeClr w14:val="tx1"/>
            </w14:solidFill>
          </w14:textFill>
        </w:rPr>
        <w:t>产单元的构筑方式，结合厂区地</w:t>
      </w:r>
      <w:r>
        <w:rPr>
          <w:rFonts w:cs="Times New Roman"/>
          <w:color w:val="000000" w:themeColor="text1"/>
          <w:spacing w:val="-3"/>
          <w:kern w:val="0"/>
          <w:szCs w:val="24"/>
          <w14:textFill>
            <w14:solidFill>
              <w14:schemeClr w14:val="tx1"/>
            </w14:solidFill>
          </w14:textFill>
        </w:rPr>
        <w:t>质和水文地质条件，对厂区采取分区防渗措施。根据《环</w:t>
      </w:r>
      <w:r>
        <w:rPr>
          <w:rFonts w:cs="Times New Roman"/>
          <w:color w:val="000000" w:themeColor="text1"/>
          <w:spacing w:val="-4"/>
          <w:kern w:val="0"/>
          <w:szCs w:val="24"/>
          <w14:textFill>
            <w14:solidFill>
              <w14:schemeClr w14:val="tx1"/>
            </w14:solidFill>
          </w14:textFill>
        </w:rPr>
        <w:t>境影响评价技术导则-地下水</w:t>
      </w:r>
      <w:r>
        <w:rPr>
          <w:rFonts w:cs="Times New Roman"/>
          <w:color w:val="000000" w:themeColor="text1"/>
          <w:spacing w:val="-2"/>
          <w:kern w:val="0"/>
          <w:szCs w:val="24"/>
          <w14:textFill>
            <w14:solidFill>
              <w14:schemeClr w14:val="tx1"/>
            </w14:solidFill>
          </w14:textFill>
        </w:rPr>
        <w:t>环境》（HJ610-2016）项目无重金属及持久性有机污染物，一般防渗区：生产车间、成品库房、原料库房，采用S6级防渗</w:t>
      </w:r>
      <w:r>
        <w:rPr>
          <w:rFonts w:cs="Times New Roman"/>
          <w:color w:val="000000" w:themeColor="text1"/>
          <w:spacing w:val="-1"/>
          <w:kern w:val="0"/>
          <w:szCs w:val="24"/>
          <w14:textFill>
            <w14:solidFill>
              <w14:schemeClr w14:val="tx1"/>
            </w14:solidFill>
          </w14:textFill>
        </w:rPr>
        <w:t>砼，可达到防渗的目的。对于混凝土中间的伸缩缝和实体基础的</w:t>
      </w:r>
      <w:r>
        <w:rPr>
          <w:rFonts w:cs="Times New Roman"/>
          <w:color w:val="000000" w:themeColor="text1"/>
          <w:spacing w:val="-2"/>
          <w:kern w:val="0"/>
          <w:szCs w:val="24"/>
          <w14:textFill>
            <w14:solidFill>
              <w14:schemeClr w14:val="tx1"/>
            </w14:solidFill>
          </w14:textFill>
        </w:rPr>
        <w:t>缝隙，通过填充柔性</w:t>
      </w:r>
      <w:r>
        <w:rPr>
          <w:rFonts w:cs="Times New Roman"/>
          <w:color w:val="000000" w:themeColor="text1"/>
          <w:spacing w:val="-1"/>
          <w:kern w:val="0"/>
          <w:szCs w:val="24"/>
          <w14:textFill>
            <w14:solidFill>
              <w14:schemeClr w14:val="tx1"/>
            </w14:solidFill>
          </w14:textFill>
        </w:rPr>
        <w:t>材料达到防渗的目的，渗透参数Mb≥1.5m，k≤1×10</w:t>
      </w:r>
      <w:r>
        <w:rPr>
          <w:rFonts w:cs="Times New Roman"/>
          <w:color w:val="000000" w:themeColor="text1"/>
          <w:spacing w:val="-1"/>
          <w:kern w:val="0"/>
          <w:position w:val="7"/>
          <w:sz w:val="15"/>
          <w:szCs w:val="15"/>
          <w14:textFill>
            <w14:solidFill>
              <w14:schemeClr w14:val="tx1"/>
            </w14:solidFill>
          </w14:textFill>
        </w:rPr>
        <w:t>-7</w:t>
      </w:r>
      <w:r>
        <w:rPr>
          <w:rFonts w:cs="Times New Roman"/>
          <w:color w:val="000000" w:themeColor="text1"/>
          <w:spacing w:val="-1"/>
          <w:kern w:val="0"/>
          <w:szCs w:val="24"/>
          <w14:textFill>
            <w14:solidFill>
              <w14:schemeClr w14:val="tx1"/>
            </w14:solidFill>
          </w14:textFill>
        </w:rPr>
        <w:t>cm/s，满足一般防渗区的</w:t>
      </w:r>
      <w:r>
        <w:rPr>
          <w:rFonts w:cs="Times New Roman"/>
          <w:color w:val="000000" w:themeColor="text1"/>
          <w:spacing w:val="-2"/>
          <w:kern w:val="0"/>
          <w:szCs w:val="24"/>
          <w14:textFill>
            <w14:solidFill>
              <w14:schemeClr w14:val="tx1"/>
            </w14:solidFill>
          </w14:textFill>
        </w:rPr>
        <w:t>防渗技</w:t>
      </w:r>
      <w:r>
        <w:rPr>
          <w:rFonts w:cs="Times New Roman"/>
          <w:color w:val="000000" w:themeColor="text1"/>
          <w:spacing w:val="-3"/>
          <w:kern w:val="0"/>
          <w:szCs w:val="24"/>
          <w14:textFill>
            <w14:solidFill>
              <w14:schemeClr w14:val="tx1"/>
            </w14:solidFill>
          </w14:textFill>
        </w:rPr>
        <w:t>术要求。</w:t>
      </w:r>
    </w:p>
    <w:p w14:paraId="4352ED06">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（3）风险事故应急响应</w:t>
      </w:r>
    </w:p>
    <w:p w14:paraId="3ABAD562">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为了做好地下水环境保护与污染防治对策，避</w:t>
      </w:r>
      <w:r>
        <w:rPr>
          <w:rFonts w:cs="Times New Roman"/>
          <w:color w:val="000000" w:themeColor="text1"/>
          <w:spacing w:val="-2"/>
          <w:kern w:val="0"/>
          <w:szCs w:val="24"/>
          <w14:textFill>
            <w14:solidFill>
              <w14:schemeClr w14:val="tx1"/>
            </w14:solidFill>
          </w14:textFill>
        </w:rPr>
        <w:t>免和减轻地下水污染造成的损失，</w:t>
      </w:r>
      <w:r>
        <w:rPr>
          <w:rFonts w:cs="Times New Roman"/>
          <w:color w:val="000000" w:themeColor="text1"/>
          <w:spacing w:val="-1"/>
          <w:kern w:val="0"/>
          <w:szCs w:val="24"/>
          <w14:textFill>
            <w14:solidFill>
              <w14:schemeClr w14:val="tx1"/>
            </w14:solidFill>
          </w14:textFill>
        </w:rPr>
        <w:t>应制定地下水风险事故应急响应预案，成立应急指挥部，事故</w:t>
      </w:r>
      <w:r>
        <w:rPr>
          <w:rFonts w:cs="Times New Roman"/>
          <w:color w:val="000000" w:themeColor="text1"/>
          <w:spacing w:val="-2"/>
          <w:kern w:val="0"/>
          <w:szCs w:val="24"/>
          <w14:textFill>
            <w14:solidFill>
              <w14:schemeClr w14:val="tx1"/>
            </w14:solidFill>
          </w14:textFill>
        </w:rPr>
        <w:t>发生后及时采取措施。</w:t>
      </w:r>
      <w:r>
        <w:rPr>
          <w:rFonts w:cs="Times New Roman"/>
          <w:color w:val="000000" w:themeColor="text1"/>
          <w:spacing w:val="-1"/>
          <w:kern w:val="0"/>
          <w:szCs w:val="24"/>
          <w14:textFill>
            <w14:solidFill>
              <w14:schemeClr w14:val="tx1"/>
            </w14:solidFill>
          </w14:textFill>
        </w:rPr>
        <w:t>一旦掌握地下水环境污染征兆或发生地下水环境污染时，知情</w:t>
      </w:r>
      <w:r>
        <w:rPr>
          <w:rFonts w:cs="Times New Roman"/>
          <w:color w:val="000000" w:themeColor="text1"/>
          <w:spacing w:val="-2"/>
          <w:kern w:val="0"/>
          <w:szCs w:val="24"/>
          <w14:textFill>
            <w14:solidFill>
              <w14:schemeClr w14:val="tx1"/>
            </w14:solidFill>
          </w14:textFill>
        </w:rPr>
        <w:t>单位和个人要立即向当</w:t>
      </w:r>
      <w:r>
        <w:rPr>
          <w:rFonts w:cs="Times New Roman"/>
          <w:color w:val="000000" w:themeColor="text1"/>
          <w:spacing w:val="-1"/>
          <w:kern w:val="0"/>
          <w:szCs w:val="24"/>
          <w14:textFill>
            <w14:solidFill>
              <w14:schemeClr w14:val="tx1"/>
            </w14:solidFill>
          </w14:textFill>
        </w:rPr>
        <w:t>地政府或地下水环境污染主管部门、责任单位报告有关情况</w:t>
      </w:r>
      <w:r>
        <w:rPr>
          <w:rFonts w:cs="Times New Roman"/>
          <w:color w:val="000000" w:themeColor="text1"/>
          <w:spacing w:val="-2"/>
          <w:kern w:val="0"/>
          <w:szCs w:val="24"/>
          <w14:textFill>
            <w14:solidFill>
              <w14:schemeClr w14:val="tx1"/>
            </w14:solidFill>
          </w14:textFill>
        </w:rPr>
        <w:t>。应急指挥部要根据预</w:t>
      </w:r>
      <w:r>
        <w:rPr>
          <w:rFonts w:cs="Times New Roman"/>
          <w:color w:val="000000" w:themeColor="text1"/>
          <w:spacing w:val="-1"/>
          <w:kern w:val="0"/>
          <w:szCs w:val="24"/>
          <w14:textFill>
            <w14:solidFill>
              <w14:schemeClr w14:val="tx1"/>
            </w14:solidFill>
          </w14:textFill>
        </w:rPr>
        <w:t>案要求，组织和指挥参与现场应急工作各部门的行动，组织专</w:t>
      </w:r>
      <w:r>
        <w:rPr>
          <w:rFonts w:cs="Times New Roman"/>
          <w:color w:val="000000" w:themeColor="text1"/>
          <w:spacing w:val="-2"/>
          <w:kern w:val="0"/>
          <w:szCs w:val="24"/>
          <w14:textFill>
            <w14:solidFill>
              <w14:schemeClr w14:val="tx1"/>
            </w14:solidFill>
          </w14:textFill>
        </w:rPr>
        <w:t>家组根据事件原因、性</w:t>
      </w:r>
      <w:r>
        <w:rPr>
          <w:rFonts w:cs="Times New Roman"/>
          <w:color w:val="000000" w:themeColor="text1"/>
          <w:spacing w:val="-1"/>
          <w:kern w:val="0"/>
          <w:szCs w:val="24"/>
          <w14:textFill>
            <w14:solidFill>
              <w14:schemeClr w14:val="tx1"/>
            </w14:solidFill>
          </w14:textFill>
        </w:rPr>
        <w:t>质、危害程度等调查原因，分析发展趋势，并提出下一步预防</w:t>
      </w:r>
      <w:r>
        <w:rPr>
          <w:rFonts w:cs="Times New Roman"/>
          <w:color w:val="000000" w:themeColor="text1"/>
          <w:spacing w:val="-2"/>
          <w:kern w:val="0"/>
          <w:szCs w:val="24"/>
          <w14:textFill>
            <w14:solidFill>
              <w14:schemeClr w14:val="tx1"/>
            </w14:solidFill>
          </w14:textFill>
        </w:rPr>
        <w:t>和防治措施，迅速控制</w:t>
      </w:r>
      <w:r>
        <w:rPr>
          <w:rFonts w:cs="Times New Roman"/>
          <w:color w:val="000000" w:themeColor="text1"/>
          <w:spacing w:val="-6"/>
          <w:kern w:val="0"/>
          <w:szCs w:val="24"/>
          <w14:textFill>
            <w14:solidFill>
              <w14:schemeClr w14:val="tx1"/>
            </w14:solidFill>
          </w14:textFill>
        </w:rPr>
        <w:t>或切断事件灾害链，对污水进行封闭、截流，将损失降到最低限度。应急工作结束时，</w:t>
      </w:r>
      <w:r>
        <w:rPr>
          <w:rFonts w:cs="Times New Roman"/>
          <w:color w:val="000000" w:themeColor="text1"/>
          <w:spacing w:val="-2"/>
          <w:kern w:val="0"/>
          <w:szCs w:val="24"/>
          <w14:textFill>
            <w14:solidFill>
              <w14:schemeClr w14:val="tx1"/>
            </w14:solidFill>
          </w14:textFill>
        </w:rPr>
        <w:t>应协调相关职能部门和单位，做好善后工作，防止出现事件“放大效</w:t>
      </w:r>
      <w:r>
        <w:rPr>
          <w:rFonts w:cs="Times New Roman"/>
          <w:color w:val="000000" w:themeColor="text1"/>
          <w:spacing w:val="-3"/>
          <w:kern w:val="0"/>
          <w:szCs w:val="24"/>
          <w14:textFill>
            <w14:solidFill>
              <w14:schemeClr w14:val="tx1"/>
            </w14:solidFill>
          </w14:textFill>
        </w:rPr>
        <w:t>应”和次生、衍</w:t>
      </w:r>
      <w:r>
        <w:rPr>
          <w:rFonts w:cs="Times New Roman"/>
          <w:color w:val="000000" w:themeColor="text1"/>
          <w:spacing w:val="-1"/>
          <w:kern w:val="0"/>
          <w:szCs w:val="24"/>
          <w14:textFill>
            <w14:solidFill>
              <w14:schemeClr w14:val="tx1"/>
            </w14:solidFill>
          </w14:textFill>
        </w:rPr>
        <w:t>生灾害，尽快恢复当地正常秩序。</w:t>
      </w:r>
    </w:p>
    <w:p w14:paraId="73744186">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同时应加强管理，加强思想教育，增强全体员工的环保意识；健全管理机制，对</w:t>
      </w:r>
      <w:r>
        <w:rPr>
          <w:rFonts w:cs="Times New Roman"/>
          <w:color w:val="000000" w:themeColor="text1"/>
          <w:spacing w:val="-1"/>
          <w:kern w:val="0"/>
          <w:szCs w:val="24"/>
          <w14:textFill>
            <w14:solidFill>
              <w14:schemeClr w14:val="tx1"/>
            </w14:solidFill>
          </w14:textFill>
        </w:rPr>
        <w:t>于可能发生泄漏的污染源进行认真排查、登记，建立健全定期巡</w:t>
      </w:r>
      <w:r>
        <w:rPr>
          <w:rFonts w:cs="Times New Roman"/>
          <w:color w:val="000000" w:themeColor="text1"/>
          <w:spacing w:val="-2"/>
          <w:kern w:val="0"/>
          <w:szCs w:val="24"/>
          <w14:textFill>
            <w14:solidFill>
              <w14:schemeClr w14:val="tx1"/>
            </w14:solidFill>
          </w14:textFill>
        </w:rPr>
        <w:t>检制度，及时发现，</w:t>
      </w:r>
      <w:r>
        <w:rPr>
          <w:rFonts w:cs="Times New Roman"/>
          <w:color w:val="000000" w:themeColor="text1"/>
          <w:spacing w:val="-1"/>
          <w:kern w:val="0"/>
          <w:szCs w:val="24"/>
          <w14:textFill>
            <w14:solidFill>
              <w14:schemeClr w14:val="tx1"/>
            </w14:solidFill>
          </w14:textFill>
        </w:rPr>
        <w:t>及时解决；建立从设计、施工、试运行、生产操作以及检修全过</w:t>
      </w:r>
      <w:r>
        <w:rPr>
          <w:rFonts w:cs="Times New Roman"/>
          <w:color w:val="000000" w:themeColor="text1"/>
          <w:spacing w:val="-2"/>
          <w:kern w:val="0"/>
          <w:szCs w:val="24"/>
          <w14:textFill>
            <w14:solidFill>
              <w14:schemeClr w14:val="tx1"/>
            </w14:solidFill>
          </w14:textFill>
        </w:rPr>
        <w:t>程健全的监管体系，</w:t>
      </w:r>
      <w:r>
        <w:rPr>
          <w:rFonts w:cs="Times New Roman"/>
          <w:color w:val="000000" w:themeColor="text1"/>
          <w:spacing w:val="-1"/>
          <w:kern w:val="0"/>
          <w:szCs w:val="24"/>
          <w14:textFill>
            <w14:solidFill>
              <w14:schemeClr w14:val="tx1"/>
            </w14:solidFill>
          </w14:textFill>
        </w:rPr>
        <w:t>确保设计水平、施工质量和运行操作等的正确实施。</w:t>
      </w:r>
    </w:p>
    <w:p w14:paraId="5D872257">
      <w:pPr>
        <w:pStyle w:val="186"/>
        <w:ind w:firstLine="472"/>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（4）风险监控及应急监测系统</w:t>
      </w:r>
    </w:p>
    <w:p w14:paraId="1EE22930">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建立事故预防、监测、检验、报警系统；采取</w:t>
      </w:r>
      <w:r>
        <w:rPr>
          <w:rFonts w:cs="Times New Roman"/>
          <w:color w:val="000000" w:themeColor="text1"/>
          <w:spacing w:val="-2"/>
          <w:kern w:val="0"/>
          <w:szCs w:val="24"/>
          <w14:textFill>
            <w14:solidFill>
              <w14:schemeClr w14:val="tx1"/>
            </w14:solidFill>
          </w14:textFill>
        </w:rPr>
        <w:t>技术、工艺、设备、管理等综合预</w:t>
      </w:r>
      <w:r>
        <w:rPr>
          <w:rFonts w:cs="Times New Roman"/>
          <w:color w:val="000000" w:themeColor="text1"/>
          <w:spacing w:val="-1"/>
          <w:kern w:val="0"/>
          <w:szCs w:val="24"/>
          <w14:textFill>
            <w14:solidFill>
              <w14:schemeClr w14:val="tx1"/>
            </w14:solidFill>
          </w14:textFill>
        </w:rPr>
        <w:t>防措施，避免易燃易爆物质意外事件发生；在易产生污水</w:t>
      </w:r>
      <w:r>
        <w:rPr>
          <w:rFonts w:cs="Times New Roman"/>
          <w:color w:val="000000" w:themeColor="text1"/>
          <w:spacing w:val="-2"/>
          <w:kern w:val="0"/>
          <w:szCs w:val="24"/>
          <w14:textFill>
            <w14:solidFill>
              <w14:schemeClr w14:val="tx1"/>
            </w14:solidFill>
          </w14:textFill>
        </w:rPr>
        <w:t>溢出及靠近河流位置等处修</w:t>
      </w:r>
      <w:r>
        <w:rPr>
          <w:rFonts w:cs="Times New Roman"/>
          <w:color w:val="000000" w:themeColor="text1"/>
          <w:kern w:val="0"/>
          <w:szCs w:val="24"/>
          <w14:textFill>
            <w14:solidFill>
              <w14:schemeClr w14:val="tx1"/>
            </w14:solidFill>
          </w14:textFill>
        </w:rPr>
        <w:t>筑筑堤，当发生泄漏事件时能及时将泄漏物</w:t>
      </w:r>
      <w:r>
        <w:rPr>
          <w:rFonts w:cs="Times New Roman"/>
          <w:color w:val="000000" w:themeColor="text1"/>
          <w:spacing w:val="-1"/>
          <w:kern w:val="0"/>
          <w:szCs w:val="24"/>
          <w14:textFill>
            <w14:solidFill>
              <w14:schemeClr w14:val="tx1"/>
            </w14:solidFill>
          </w14:textFill>
        </w:rPr>
        <w:t>或废水等控制在安全范围内。</w:t>
      </w:r>
    </w:p>
    <w:p w14:paraId="2B7A743E">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成立事故应急救援指挥办公室，同时建立突发环</w:t>
      </w:r>
      <w:r>
        <w:rPr>
          <w:rFonts w:cs="Times New Roman"/>
          <w:color w:val="000000" w:themeColor="text1"/>
          <w:spacing w:val="-2"/>
          <w:kern w:val="0"/>
          <w:szCs w:val="24"/>
          <w14:textFill>
            <w14:solidFill>
              <w14:schemeClr w14:val="tx1"/>
            </w14:solidFill>
          </w14:textFill>
        </w:rPr>
        <w:t>境事件应急救援队伍，培训一支</w:t>
      </w:r>
      <w:r>
        <w:rPr>
          <w:rFonts w:cs="Times New Roman"/>
          <w:color w:val="000000" w:themeColor="text1"/>
          <w:spacing w:val="-5"/>
          <w:kern w:val="0"/>
          <w:szCs w:val="24"/>
          <w14:textFill>
            <w14:solidFill>
              <w14:schemeClr w14:val="tx1"/>
            </w14:solidFill>
          </w14:textFill>
        </w:rPr>
        <w:t>常备不懈，熟悉环境应急知识，充分掌握各类</w:t>
      </w:r>
      <w:r>
        <w:rPr>
          <w:rFonts w:cs="Times New Roman"/>
          <w:color w:val="000000" w:themeColor="text1"/>
          <w:spacing w:val="-6"/>
          <w:kern w:val="0"/>
          <w:szCs w:val="24"/>
          <w14:textFill>
            <w14:solidFill>
              <w14:schemeClr w14:val="tx1"/>
            </w14:solidFill>
          </w14:textFill>
        </w:rPr>
        <w:t>突发环境事件处置措施的预备应急力量；</w:t>
      </w:r>
      <w:r>
        <w:rPr>
          <w:rFonts w:cs="Times New Roman"/>
          <w:color w:val="000000" w:themeColor="text1"/>
          <w:spacing w:val="-5"/>
          <w:kern w:val="0"/>
          <w:szCs w:val="24"/>
          <w14:textFill>
            <w14:solidFill>
              <w14:schemeClr w14:val="tx1"/>
            </w14:solidFill>
          </w14:textFill>
        </w:rPr>
        <w:t>保证在突发事故发生后，能迅速参与并完成抢</w:t>
      </w:r>
      <w:r>
        <w:rPr>
          <w:rFonts w:cs="Times New Roman"/>
          <w:color w:val="000000" w:themeColor="text1"/>
          <w:spacing w:val="-6"/>
          <w:kern w:val="0"/>
          <w:szCs w:val="24"/>
          <w14:textFill>
            <w14:solidFill>
              <w14:schemeClr w14:val="tx1"/>
            </w14:solidFill>
          </w14:textFill>
        </w:rPr>
        <w:t>救、排险、消毒、监测等现场处置工作。</w:t>
      </w:r>
    </w:p>
    <w:p w14:paraId="0140FF11">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完成环境风险应急救援的编制，按照应急预案尽</w:t>
      </w:r>
      <w:r>
        <w:rPr>
          <w:rFonts w:cs="Times New Roman"/>
          <w:color w:val="000000" w:themeColor="text1"/>
          <w:spacing w:val="-2"/>
          <w:kern w:val="0"/>
          <w:szCs w:val="24"/>
          <w14:textFill>
            <w14:solidFill>
              <w14:schemeClr w14:val="tx1"/>
            </w14:solidFill>
          </w14:textFill>
        </w:rPr>
        <w:t>快完善应急指挥部及专业救援小</w:t>
      </w:r>
      <w:r>
        <w:rPr>
          <w:rFonts w:cs="Times New Roman"/>
          <w:color w:val="000000" w:themeColor="text1"/>
          <w:spacing w:val="-1"/>
          <w:kern w:val="0"/>
          <w:szCs w:val="24"/>
          <w14:textFill>
            <w14:solidFill>
              <w14:schemeClr w14:val="tx1"/>
            </w14:solidFill>
          </w14:textFill>
        </w:rPr>
        <w:t>组，完善应急物资及完善应急物资清单，设置应急物资</w:t>
      </w:r>
      <w:r>
        <w:rPr>
          <w:rFonts w:cs="Times New Roman"/>
          <w:color w:val="000000" w:themeColor="text1"/>
          <w:spacing w:val="-2"/>
          <w:kern w:val="0"/>
          <w:szCs w:val="24"/>
          <w14:textFill>
            <w14:solidFill>
              <w14:schemeClr w14:val="tx1"/>
            </w14:solidFill>
          </w14:textFill>
        </w:rPr>
        <w:t>储存间并建立了运行台账及应急物资管理制度。</w:t>
      </w:r>
    </w:p>
    <w:p w14:paraId="56125C8E">
      <w:pPr>
        <w:pStyle w:val="186"/>
        <w:ind w:firstLine="474"/>
        <w:rPr>
          <w:rFonts w:cs="Times New Roman"/>
          <w:color w:val="000000" w:themeColor="text1"/>
          <w:kern w:val="0"/>
          <w:szCs w:val="24"/>
          <w14:textFill>
            <w14:solidFill>
              <w14:schemeClr w14:val="tx1"/>
            </w14:solidFill>
          </w14:textFill>
        </w:rPr>
      </w:pPr>
      <w:r>
        <w:rPr>
          <w:rFonts w:cs="Times New Roman"/>
          <w:b/>
          <w:bCs/>
          <w:color w:val="000000" w:themeColor="text1"/>
          <w:spacing w:val="-2"/>
          <w:kern w:val="0"/>
          <w:szCs w:val="24"/>
          <w14:textFill>
            <w14:solidFill>
              <w14:schemeClr w14:val="tx1"/>
            </w14:solidFill>
          </w14:textFill>
        </w:rPr>
        <w:t>10.3突发环境事件应急预案编制要求</w:t>
      </w:r>
    </w:p>
    <w:p w14:paraId="16AC4131">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事故应急救援预案，是事故预防系统的重要组成部分</w:t>
      </w:r>
      <w:r>
        <w:rPr>
          <w:rFonts w:cs="Times New Roman"/>
          <w:color w:val="000000" w:themeColor="text1"/>
          <w:spacing w:val="-2"/>
          <w:kern w:val="0"/>
          <w:szCs w:val="24"/>
          <w14:textFill>
            <w14:solidFill>
              <w14:schemeClr w14:val="tx1"/>
            </w14:solidFill>
          </w14:textFill>
        </w:rPr>
        <w:t>。制定重大事故应急救援预</w:t>
      </w:r>
      <w:r>
        <w:rPr>
          <w:rFonts w:cs="Times New Roman"/>
          <w:color w:val="000000" w:themeColor="text1"/>
          <w:spacing w:val="-1"/>
          <w:kern w:val="0"/>
          <w:szCs w:val="24"/>
          <w14:textFill>
            <w14:solidFill>
              <w14:schemeClr w14:val="tx1"/>
            </w14:solidFill>
          </w14:textFill>
        </w:rPr>
        <w:t>案的目的是发生事故时，能以最快的速度发挥最大的</w:t>
      </w:r>
      <w:r>
        <w:rPr>
          <w:rFonts w:cs="Times New Roman"/>
          <w:color w:val="000000" w:themeColor="text1"/>
          <w:spacing w:val="-2"/>
          <w:kern w:val="0"/>
          <w:szCs w:val="24"/>
          <w14:textFill>
            <w14:solidFill>
              <w14:schemeClr w14:val="tx1"/>
            </w14:solidFill>
          </w14:textFill>
        </w:rPr>
        <w:t>效能，有序地实施救援，达</w:t>
      </w:r>
      <w:r>
        <w:rPr>
          <w:rFonts w:cs="Times New Roman"/>
          <w:color w:val="000000" w:themeColor="text1"/>
          <w:spacing w:val="-1"/>
          <w:kern w:val="0"/>
          <w:szCs w:val="24"/>
          <w14:textFill>
            <w14:solidFill>
              <w14:schemeClr w14:val="tx1"/>
            </w14:solidFill>
          </w14:textFill>
        </w:rPr>
        <w:t>到尽快控制事态发展，降低事故造成的危害，减少事故损失的目的。</w:t>
      </w:r>
    </w:p>
    <w:p w14:paraId="0F4F1B8B">
      <w:pPr>
        <w:pStyle w:val="186"/>
        <w:ind w:firstLine="468"/>
        <w:rPr>
          <w:rFonts w:cs="Times New Roman"/>
          <w:color w:val="000000" w:themeColor="text1"/>
          <w:kern w:val="0"/>
          <w:szCs w:val="24"/>
          <w14:textFill>
            <w14:solidFill>
              <w14:schemeClr w14:val="tx1"/>
            </w14:solidFill>
          </w14:textFill>
        </w:rPr>
      </w:pPr>
      <w:r>
        <w:rPr>
          <w:rFonts w:cs="Times New Roman"/>
          <w:color w:val="000000" w:themeColor="text1"/>
          <w:spacing w:val="-3"/>
          <w:kern w:val="0"/>
          <w:szCs w:val="24"/>
          <w14:textFill>
            <w14:solidFill>
              <w14:schemeClr w14:val="tx1"/>
            </w14:solidFill>
          </w14:textFill>
        </w:rPr>
        <w:t>根据《建设项目环境风险评价技术导则》（HJ169-2018</w:t>
      </w:r>
      <w:r>
        <w:rPr>
          <w:rFonts w:cs="Times New Roman"/>
          <w:color w:val="000000" w:themeColor="text1"/>
          <w:spacing w:val="-5"/>
          <w:kern w:val="0"/>
          <w:szCs w:val="24"/>
          <w14:textFill>
            <w14:solidFill>
              <w14:schemeClr w14:val="tx1"/>
            </w14:solidFill>
          </w14:textFill>
        </w:rPr>
        <w:t>），</w:t>
      </w:r>
      <w:r>
        <w:rPr>
          <w:rFonts w:cs="Times New Roman"/>
          <w:color w:val="000000" w:themeColor="text1"/>
          <w:spacing w:val="-3"/>
          <w:kern w:val="0"/>
          <w:szCs w:val="24"/>
          <w14:textFill>
            <w14:solidFill>
              <w14:schemeClr w14:val="tx1"/>
            </w14:solidFill>
          </w14:textFill>
        </w:rPr>
        <w:t>项目投产前应按规定</w:t>
      </w:r>
      <w:r>
        <w:rPr>
          <w:rFonts w:cs="Times New Roman"/>
          <w:color w:val="000000" w:themeColor="text1"/>
          <w:spacing w:val="-1"/>
          <w:kern w:val="0"/>
          <w:szCs w:val="24"/>
          <w14:textFill>
            <w14:solidFill>
              <w14:schemeClr w14:val="tx1"/>
            </w14:solidFill>
          </w14:textFill>
        </w:rPr>
        <w:t>编制应急预案，应包括以下内容：预案适用范围、环境事</w:t>
      </w:r>
      <w:r>
        <w:rPr>
          <w:rFonts w:cs="Times New Roman"/>
          <w:color w:val="000000" w:themeColor="text1"/>
          <w:spacing w:val="-2"/>
          <w:kern w:val="0"/>
          <w:szCs w:val="24"/>
          <w14:textFill>
            <w14:solidFill>
              <w14:schemeClr w14:val="tx1"/>
            </w14:solidFill>
          </w14:textFill>
        </w:rPr>
        <w:t>件分类与分级、组织机构与</w:t>
      </w:r>
      <w:r>
        <w:rPr>
          <w:rFonts w:cs="Times New Roman"/>
          <w:color w:val="000000" w:themeColor="text1"/>
          <w:spacing w:val="-6"/>
          <w:kern w:val="0"/>
          <w:szCs w:val="24"/>
          <w14:textFill>
            <w14:solidFill>
              <w14:schemeClr w14:val="tx1"/>
            </w14:solidFill>
          </w14:textFill>
        </w:rPr>
        <w:t>职责、监控和预警、应急响应、应急保障、善后处置、预案管理与演练等内容。同时，</w:t>
      </w:r>
      <w:r>
        <w:rPr>
          <w:rFonts w:cs="Times New Roman"/>
          <w:color w:val="000000" w:themeColor="text1"/>
          <w:spacing w:val="-3"/>
          <w:kern w:val="0"/>
          <w:szCs w:val="24"/>
          <w14:textFill>
            <w14:solidFill>
              <w14:schemeClr w14:val="tx1"/>
            </w14:solidFill>
          </w14:textFill>
        </w:rPr>
        <w:t>应明确企业、地方政府环境风险应急体系，应急预案应体现分级响应、区</w:t>
      </w:r>
      <w:r>
        <w:rPr>
          <w:rFonts w:cs="Times New Roman"/>
          <w:color w:val="000000" w:themeColor="text1"/>
          <w:kern w:val="0"/>
          <w:szCs w:val="24"/>
          <w14:textFill>
            <w14:solidFill>
              <w14:schemeClr w14:val="tx1"/>
            </w14:solidFill>
          </w14:textFill>
        </w:rPr>
        <w:t>域联动的原则，与地方政府突发环境事件应急预案相衔</w:t>
      </w:r>
      <w:r>
        <w:rPr>
          <w:rFonts w:cs="Times New Roman"/>
          <w:color w:val="000000" w:themeColor="text1"/>
          <w:spacing w:val="-1"/>
          <w:kern w:val="0"/>
          <w:szCs w:val="24"/>
          <w14:textFill>
            <w14:solidFill>
              <w14:schemeClr w14:val="tx1"/>
            </w14:solidFill>
          </w14:textFill>
        </w:rPr>
        <w:t>接，明确分级响应程序。</w:t>
      </w:r>
    </w:p>
    <w:p w14:paraId="5645B9C7">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应急预案纲要</w:t>
      </w:r>
    </w:p>
    <w:tbl>
      <w:tblPr>
        <w:tblStyle w:val="171"/>
        <w:tblW w:w="90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2975"/>
        <w:gridCol w:w="5373"/>
      </w:tblGrid>
      <w:tr w14:paraId="29BBF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12" w:type="dxa"/>
            <w:vAlign w:val="center"/>
          </w:tcPr>
          <w:p w14:paraId="76BA3B2F">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序号</w:t>
            </w:r>
          </w:p>
        </w:tc>
        <w:tc>
          <w:tcPr>
            <w:tcW w:w="2975" w:type="dxa"/>
            <w:vAlign w:val="center"/>
          </w:tcPr>
          <w:p w14:paraId="29AB87B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项目</w:t>
            </w:r>
          </w:p>
        </w:tc>
        <w:tc>
          <w:tcPr>
            <w:tcW w:w="5373" w:type="dxa"/>
          </w:tcPr>
          <w:p w14:paraId="286FA87F">
            <w:pPr>
              <w:kinsoku w:val="0"/>
              <w:autoSpaceDE w:val="0"/>
              <w:autoSpaceDN w:val="0"/>
              <w:adjustRightInd w:val="0"/>
              <w:snapToGrid w:val="0"/>
              <w:spacing w:before="35" w:line="217" w:lineRule="auto"/>
              <w:ind w:left="2190"/>
              <w:jc w:val="left"/>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内容及要求</w:t>
            </w:r>
          </w:p>
        </w:tc>
      </w:tr>
      <w:tr w14:paraId="49A98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2" w:type="dxa"/>
            <w:vAlign w:val="center"/>
          </w:tcPr>
          <w:p w14:paraId="34B09CD4">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1</w:t>
            </w:r>
          </w:p>
        </w:tc>
        <w:tc>
          <w:tcPr>
            <w:tcW w:w="2975" w:type="dxa"/>
            <w:vAlign w:val="center"/>
          </w:tcPr>
          <w:p w14:paraId="4EEF6BC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应急计划区</w:t>
            </w:r>
          </w:p>
        </w:tc>
        <w:tc>
          <w:tcPr>
            <w:tcW w:w="5373" w:type="dxa"/>
          </w:tcPr>
          <w:p w14:paraId="102B1E3E">
            <w:pPr>
              <w:kinsoku w:val="0"/>
              <w:autoSpaceDE w:val="0"/>
              <w:autoSpaceDN w:val="0"/>
              <w:adjustRightInd w:val="0"/>
              <w:snapToGrid w:val="0"/>
              <w:spacing w:before="32" w:line="217" w:lineRule="auto"/>
              <w:ind w:left="115"/>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14:textFill>
                  <w14:solidFill>
                    <w14:schemeClr w14:val="tx1"/>
                  </w14:solidFill>
                </w14:textFill>
              </w:rPr>
              <w:t>主要危险源（原料库房）</w:t>
            </w:r>
          </w:p>
        </w:tc>
      </w:tr>
      <w:tr w14:paraId="420B9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12" w:type="dxa"/>
            <w:vAlign w:val="center"/>
          </w:tcPr>
          <w:p w14:paraId="628599B3">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2</w:t>
            </w:r>
          </w:p>
        </w:tc>
        <w:tc>
          <w:tcPr>
            <w:tcW w:w="2975" w:type="dxa"/>
            <w:vAlign w:val="center"/>
          </w:tcPr>
          <w:p w14:paraId="4056D62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应急组织机构、人员</w:t>
            </w:r>
          </w:p>
        </w:tc>
        <w:tc>
          <w:tcPr>
            <w:tcW w:w="5373" w:type="dxa"/>
          </w:tcPr>
          <w:p w14:paraId="2282C0BA">
            <w:pPr>
              <w:kinsoku w:val="0"/>
              <w:autoSpaceDE w:val="0"/>
              <w:autoSpaceDN w:val="0"/>
              <w:adjustRightInd w:val="0"/>
              <w:snapToGrid w:val="0"/>
              <w:spacing w:before="28" w:line="245" w:lineRule="auto"/>
              <w:ind w:left="116" w:right="48" w:firstLine="2"/>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实施二级应急组织机构，包括加油（注）站和地方政府。</w:t>
            </w:r>
            <w:r>
              <w:rPr>
                <w:rFonts w:eastAsia="宋体"/>
                <w:snapToGrid w:val="0"/>
                <w:color w:val="000000" w:themeColor="text1"/>
                <w:spacing w:val="5"/>
                <w:kern w:val="0"/>
                <w:szCs w:val="20"/>
                <w14:textFill>
                  <w14:solidFill>
                    <w14:schemeClr w14:val="tx1"/>
                  </w14:solidFill>
                </w14:textFill>
              </w:rPr>
              <w:t>各级别主要负责人为应急计划、协调第一人，应急人员必须为培训上岗熟练工；区域应急组织结构由当地政府、相关行业专家、卫生安全相关单位组成，并由当地政府进行统一调度。</w:t>
            </w:r>
          </w:p>
        </w:tc>
      </w:tr>
      <w:tr w14:paraId="29ACE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12" w:type="dxa"/>
            <w:vAlign w:val="center"/>
          </w:tcPr>
          <w:p w14:paraId="0B69D63E">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3</w:t>
            </w:r>
          </w:p>
        </w:tc>
        <w:tc>
          <w:tcPr>
            <w:tcW w:w="2975" w:type="dxa"/>
            <w:vAlign w:val="center"/>
          </w:tcPr>
          <w:p w14:paraId="23F1F651">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预案分级响应条件</w:t>
            </w:r>
          </w:p>
        </w:tc>
        <w:tc>
          <w:tcPr>
            <w:tcW w:w="5373" w:type="dxa"/>
          </w:tcPr>
          <w:p w14:paraId="589A0771">
            <w:pPr>
              <w:kinsoku w:val="0"/>
              <w:autoSpaceDE w:val="0"/>
              <w:autoSpaceDN w:val="0"/>
              <w:adjustRightInd w:val="0"/>
              <w:snapToGrid w:val="0"/>
              <w:spacing w:before="32" w:line="234" w:lineRule="auto"/>
              <w:ind w:left="113" w:right="109"/>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14:textFill>
                  <w14:solidFill>
                    <w14:schemeClr w14:val="tx1"/>
                  </w14:solidFill>
                </w14:textFill>
              </w:rPr>
              <w:t>根据事故的严重程度制定相应级别的应急预案，以及适合</w:t>
            </w:r>
            <w:r>
              <w:rPr>
                <w:rFonts w:eastAsia="宋体"/>
                <w:snapToGrid w:val="0"/>
                <w:color w:val="000000" w:themeColor="text1"/>
                <w:spacing w:val="8"/>
                <w:kern w:val="0"/>
                <w:szCs w:val="20"/>
                <w14:textFill>
                  <w14:solidFill>
                    <w14:schemeClr w14:val="tx1"/>
                  </w14:solidFill>
                </w14:textFill>
              </w:rPr>
              <w:t>相应情况的处理措施。</w:t>
            </w:r>
          </w:p>
        </w:tc>
      </w:tr>
      <w:tr w14:paraId="30AA8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2" w:type="dxa"/>
            <w:vAlign w:val="center"/>
          </w:tcPr>
          <w:p w14:paraId="7CC424CC">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4</w:t>
            </w:r>
          </w:p>
        </w:tc>
        <w:tc>
          <w:tcPr>
            <w:tcW w:w="2975" w:type="dxa"/>
            <w:vAlign w:val="center"/>
          </w:tcPr>
          <w:p w14:paraId="215BCCF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应急救援保障</w:t>
            </w:r>
          </w:p>
        </w:tc>
        <w:tc>
          <w:tcPr>
            <w:tcW w:w="5373" w:type="dxa"/>
          </w:tcPr>
          <w:p w14:paraId="5A8B5D83">
            <w:pPr>
              <w:kinsoku w:val="0"/>
              <w:autoSpaceDE w:val="0"/>
              <w:autoSpaceDN w:val="0"/>
              <w:adjustRightInd w:val="0"/>
              <w:snapToGrid w:val="0"/>
              <w:spacing w:before="32" w:line="217" w:lineRule="auto"/>
              <w:ind w:left="113"/>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应急设施，设备与器材等</w:t>
            </w:r>
          </w:p>
        </w:tc>
      </w:tr>
      <w:tr w14:paraId="1C8E0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12" w:type="dxa"/>
            <w:vAlign w:val="center"/>
          </w:tcPr>
          <w:p w14:paraId="12B8C29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5</w:t>
            </w:r>
          </w:p>
        </w:tc>
        <w:tc>
          <w:tcPr>
            <w:tcW w:w="2975" w:type="dxa"/>
            <w:vAlign w:val="center"/>
          </w:tcPr>
          <w:p w14:paraId="3C3B89E1">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9"/>
                <w:kern w:val="0"/>
                <w:szCs w:val="20"/>
                <w:lang w:eastAsia="en-US"/>
                <w14:textFill>
                  <w14:solidFill>
                    <w14:schemeClr w14:val="tx1"/>
                  </w14:solidFill>
                </w14:textFill>
              </w:rPr>
              <w:t>报警、通讯联络方式</w:t>
            </w:r>
          </w:p>
        </w:tc>
        <w:tc>
          <w:tcPr>
            <w:tcW w:w="5373" w:type="dxa"/>
          </w:tcPr>
          <w:p w14:paraId="58BFFA48">
            <w:pPr>
              <w:kinsoku w:val="0"/>
              <w:autoSpaceDE w:val="0"/>
              <w:autoSpaceDN w:val="0"/>
              <w:adjustRightInd w:val="0"/>
              <w:snapToGrid w:val="0"/>
              <w:spacing w:before="33" w:line="244" w:lineRule="auto"/>
              <w:ind w:left="113" w:right="107"/>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逐一细化应急状态下各主要负责单位的报警通信</w:t>
            </w:r>
            <w:r>
              <w:rPr>
                <w:rFonts w:eastAsia="宋体"/>
                <w:snapToGrid w:val="0"/>
                <w:color w:val="000000" w:themeColor="text1"/>
                <w:spacing w:val="5"/>
                <w:kern w:val="0"/>
                <w:szCs w:val="20"/>
                <w14:textFill>
                  <w14:solidFill>
                    <w14:schemeClr w14:val="tx1"/>
                  </w14:solidFill>
                </w14:textFill>
              </w:rPr>
              <w:t>方式、地点、电话号码以及相关配套的交通保障、管制、消防联络方法，涉及跨区域的还应与相关区域环境保护部门和上级</w:t>
            </w:r>
            <w:r>
              <w:rPr>
                <w:rFonts w:eastAsia="宋体"/>
                <w:snapToGrid w:val="0"/>
                <w:color w:val="000000" w:themeColor="text1"/>
                <w:spacing w:val="6"/>
                <w:kern w:val="0"/>
                <w:szCs w:val="20"/>
                <w14:textFill>
                  <w14:solidFill>
                    <w14:schemeClr w14:val="tx1"/>
                  </w14:solidFill>
                </w14:textFill>
              </w:rPr>
              <w:t>环保部门保持联系，及时通报事故处理情况，以</w:t>
            </w:r>
            <w:r>
              <w:rPr>
                <w:rFonts w:eastAsia="宋体"/>
                <w:snapToGrid w:val="0"/>
                <w:color w:val="000000" w:themeColor="text1"/>
                <w:spacing w:val="5"/>
                <w:kern w:val="0"/>
                <w:szCs w:val="20"/>
                <w14:textFill>
                  <w14:solidFill>
                    <w14:schemeClr w14:val="tx1"/>
                  </w14:solidFill>
                </w14:textFill>
              </w:rPr>
              <w:t>获得区域性支援。</w:t>
            </w:r>
          </w:p>
        </w:tc>
      </w:tr>
      <w:tr w14:paraId="6B0AC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12" w:type="dxa"/>
            <w:vAlign w:val="center"/>
          </w:tcPr>
          <w:p w14:paraId="6A9767A1">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6</w:t>
            </w:r>
          </w:p>
        </w:tc>
        <w:tc>
          <w:tcPr>
            <w:tcW w:w="2975" w:type="dxa"/>
            <w:vAlign w:val="center"/>
          </w:tcPr>
          <w:p w14:paraId="1E5CAC25">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应急环境监测、抢险、救援及</w:t>
            </w:r>
            <w:r>
              <w:rPr>
                <w:rFonts w:eastAsia="宋体"/>
                <w:snapToGrid w:val="0"/>
                <w:color w:val="000000" w:themeColor="text1"/>
                <w:spacing w:val="7"/>
                <w:kern w:val="0"/>
                <w:szCs w:val="20"/>
                <w14:textFill>
                  <w14:solidFill>
                    <w14:schemeClr w14:val="tx1"/>
                  </w14:solidFill>
                </w14:textFill>
              </w:rPr>
              <w:t>控制措施</w:t>
            </w:r>
          </w:p>
        </w:tc>
        <w:tc>
          <w:tcPr>
            <w:tcW w:w="5373" w:type="dxa"/>
          </w:tcPr>
          <w:p w14:paraId="7F69F6E1">
            <w:pPr>
              <w:kinsoku w:val="0"/>
              <w:autoSpaceDE w:val="0"/>
              <w:autoSpaceDN w:val="0"/>
              <w:adjustRightInd w:val="0"/>
              <w:snapToGrid w:val="0"/>
              <w:spacing w:before="32" w:line="234" w:lineRule="auto"/>
              <w:ind w:left="115" w:right="48" w:firstLine="23"/>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14:textFill>
                  <w14:solidFill>
                    <w14:schemeClr w14:val="tx1"/>
                  </w14:solidFill>
                </w14:textFill>
              </w:rPr>
              <w:t>由专业队伍负责对事故现场进行侦察监测，对事故性质、</w:t>
            </w:r>
            <w:r>
              <w:rPr>
                <w:rFonts w:eastAsia="宋体"/>
                <w:snapToGrid w:val="0"/>
                <w:color w:val="000000" w:themeColor="text1"/>
                <w:spacing w:val="9"/>
                <w:kern w:val="0"/>
                <w:szCs w:val="20"/>
                <w14:textFill>
                  <w14:solidFill>
                    <w14:schemeClr w14:val="tx1"/>
                  </w14:solidFill>
                </w14:textFill>
              </w:rPr>
              <w:t>参数与后果进行评估，为指挥部门提供决策依据。</w:t>
            </w:r>
          </w:p>
        </w:tc>
      </w:tr>
      <w:tr w14:paraId="777E4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12" w:type="dxa"/>
            <w:vAlign w:val="center"/>
          </w:tcPr>
          <w:p w14:paraId="5DD368C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7</w:t>
            </w:r>
          </w:p>
        </w:tc>
        <w:tc>
          <w:tcPr>
            <w:tcW w:w="2975" w:type="dxa"/>
            <w:vAlign w:val="center"/>
          </w:tcPr>
          <w:p w14:paraId="722C5E88">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应急检测、防护措施、清除泄</w:t>
            </w:r>
            <w:r>
              <w:rPr>
                <w:rFonts w:eastAsia="宋体"/>
                <w:snapToGrid w:val="0"/>
                <w:color w:val="000000" w:themeColor="text1"/>
                <w:spacing w:val="8"/>
                <w:kern w:val="0"/>
                <w:szCs w:val="20"/>
                <w14:textFill>
                  <w14:solidFill>
                    <w14:schemeClr w14:val="tx1"/>
                  </w14:solidFill>
                </w14:textFill>
              </w:rPr>
              <w:t>漏措施和器材</w:t>
            </w:r>
          </w:p>
        </w:tc>
        <w:tc>
          <w:tcPr>
            <w:tcW w:w="5373" w:type="dxa"/>
          </w:tcPr>
          <w:p w14:paraId="652F0E25">
            <w:pPr>
              <w:kinsoku w:val="0"/>
              <w:autoSpaceDE w:val="0"/>
              <w:autoSpaceDN w:val="0"/>
              <w:adjustRightInd w:val="0"/>
              <w:snapToGrid w:val="0"/>
              <w:spacing w:before="32" w:line="234" w:lineRule="auto"/>
              <w:ind w:left="112" w:right="109"/>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14:textFill>
                  <w14:solidFill>
                    <w14:schemeClr w14:val="tx1"/>
                  </w14:solidFill>
                </w14:textFill>
              </w:rPr>
              <w:t>事故现场、邻近区域、控制防火区域，控制和清除污染措</w:t>
            </w:r>
            <w:r>
              <w:rPr>
                <w:rFonts w:eastAsia="宋体"/>
                <w:snapToGrid w:val="0"/>
                <w:color w:val="000000" w:themeColor="text1"/>
                <w:spacing w:val="9"/>
                <w:kern w:val="0"/>
                <w:szCs w:val="20"/>
                <w14:textFill>
                  <w14:solidFill>
                    <w14:schemeClr w14:val="tx1"/>
                  </w14:solidFill>
                </w14:textFill>
              </w:rPr>
              <w:t>施及相应设备的数量、使用方法、使用人员。</w:t>
            </w:r>
          </w:p>
        </w:tc>
      </w:tr>
      <w:tr w14:paraId="3220D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12" w:type="dxa"/>
            <w:vAlign w:val="center"/>
          </w:tcPr>
          <w:p w14:paraId="748E7ED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8</w:t>
            </w:r>
          </w:p>
        </w:tc>
        <w:tc>
          <w:tcPr>
            <w:tcW w:w="2975" w:type="dxa"/>
            <w:vAlign w:val="center"/>
          </w:tcPr>
          <w:p w14:paraId="20D8AFB2">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人员紧急撤离、疏散、应急剂量控制、撤离组织计划</w:t>
            </w:r>
          </w:p>
        </w:tc>
        <w:tc>
          <w:tcPr>
            <w:tcW w:w="5373" w:type="dxa"/>
          </w:tcPr>
          <w:p w14:paraId="326680E5">
            <w:pPr>
              <w:kinsoku w:val="0"/>
              <w:autoSpaceDE w:val="0"/>
              <w:autoSpaceDN w:val="0"/>
              <w:adjustRightInd w:val="0"/>
              <w:snapToGrid w:val="0"/>
              <w:spacing w:before="34" w:line="239" w:lineRule="auto"/>
              <w:ind w:left="114" w:right="109" w:hanging="1"/>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14:textFill>
                  <w14:solidFill>
                    <w14:schemeClr w14:val="tx1"/>
                  </w14:solidFill>
                </w14:textFill>
              </w:rPr>
              <w:t>事故现场、工厂邻近区、受事故影响的区域人员及公众对毒物应急剂量控制规定，撤离组织计划及救护，医疗救护</w:t>
            </w:r>
            <w:r>
              <w:rPr>
                <w:rFonts w:eastAsia="宋体"/>
                <w:snapToGrid w:val="0"/>
                <w:color w:val="000000" w:themeColor="text1"/>
                <w:spacing w:val="6"/>
                <w:kern w:val="0"/>
                <w:szCs w:val="20"/>
                <w14:textFill>
                  <w14:solidFill>
                    <w14:schemeClr w14:val="tx1"/>
                  </w14:solidFill>
                </w14:textFill>
              </w:rPr>
              <w:t>与公众健康。</w:t>
            </w:r>
          </w:p>
        </w:tc>
      </w:tr>
      <w:tr w14:paraId="12E94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12" w:type="dxa"/>
            <w:vAlign w:val="center"/>
          </w:tcPr>
          <w:p w14:paraId="1BED2311">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9</w:t>
            </w:r>
          </w:p>
        </w:tc>
        <w:tc>
          <w:tcPr>
            <w:tcW w:w="2975" w:type="dxa"/>
            <w:vAlign w:val="center"/>
          </w:tcPr>
          <w:p w14:paraId="411FC28C">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事故应急救援关闭程序与恢复</w:t>
            </w:r>
            <w:r>
              <w:rPr>
                <w:rFonts w:eastAsia="宋体"/>
                <w:snapToGrid w:val="0"/>
                <w:color w:val="000000" w:themeColor="text1"/>
                <w:spacing w:val="4"/>
                <w:kern w:val="0"/>
                <w:szCs w:val="20"/>
                <w14:textFill>
                  <w14:solidFill>
                    <w14:schemeClr w14:val="tx1"/>
                  </w14:solidFill>
                </w14:textFill>
              </w:rPr>
              <w:t>措施</w:t>
            </w:r>
          </w:p>
        </w:tc>
        <w:tc>
          <w:tcPr>
            <w:tcW w:w="5373" w:type="dxa"/>
          </w:tcPr>
          <w:p w14:paraId="68AC6A93">
            <w:pPr>
              <w:kinsoku w:val="0"/>
              <w:autoSpaceDE w:val="0"/>
              <w:autoSpaceDN w:val="0"/>
              <w:adjustRightInd w:val="0"/>
              <w:snapToGrid w:val="0"/>
              <w:spacing w:before="34" w:line="228" w:lineRule="auto"/>
              <w:ind w:left="114"/>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规定应急状态终止程序；</w:t>
            </w:r>
          </w:p>
          <w:p w14:paraId="25AF8DBD">
            <w:pPr>
              <w:kinsoku w:val="0"/>
              <w:autoSpaceDE w:val="0"/>
              <w:autoSpaceDN w:val="0"/>
              <w:adjustRightInd w:val="0"/>
              <w:snapToGrid w:val="0"/>
              <w:spacing w:before="24" w:line="228" w:lineRule="auto"/>
              <w:ind w:left="113"/>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事故现场善后处理，恢复措施；</w:t>
            </w:r>
          </w:p>
          <w:p w14:paraId="16D6455F">
            <w:pPr>
              <w:kinsoku w:val="0"/>
              <w:autoSpaceDE w:val="0"/>
              <w:autoSpaceDN w:val="0"/>
              <w:adjustRightInd w:val="0"/>
              <w:snapToGrid w:val="0"/>
              <w:spacing w:before="25" w:line="228" w:lineRule="auto"/>
              <w:ind w:left="112"/>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邻近区域解除事故警戒及善后恢复措施；</w:t>
            </w:r>
          </w:p>
          <w:p w14:paraId="45F5869A">
            <w:pPr>
              <w:kinsoku w:val="0"/>
              <w:autoSpaceDE w:val="0"/>
              <w:autoSpaceDN w:val="0"/>
              <w:adjustRightInd w:val="0"/>
              <w:snapToGrid w:val="0"/>
              <w:spacing w:before="25" w:line="239" w:lineRule="auto"/>
              <w:ind w:left="112" w:right="107" w:firstLine="1"/>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制定有关的环境恢复措施；组织专业人员对事</w:t>
            </w:r>
            <w:r>
              <w:rPr>
                <w:rFonts w:eastAsia="宋体"/>
                <w:snapToGrid w:val="0"/>
                <w:color w:val="000000" w:themeColor="text1"/>
                <w:spacing w:val="5"/>
                <w:kern w:val="0"/>
                <w:szCs w:val="20"/>
                <w14:textFill>
                  <w14:solidFill>
                    <w14:schemeClr w14:val="tx1"/>
                  </w14:solidFill>
                </w14:textFill>
              </w:rPr>
              <w:t>故后的环境</w:t>
            </w:r>
            <w:r>
              <w:rPr>
                <w:rFonts w:eastAsia="宋体"/>
                <w:snapToGrid w:val="0"/>
                <w:color w:val="000000" w:themeColor="text1"/>
                <w:spacing w:val="6"/>
                <w:kern w:val="0"/>
                <w:szCs w:val="20"/>
                <w14:textFill>
                  <w14:solidFill>
                    <w14:schemeClr w14:val="tx1"/>
                  </w14:solidFill>
                </w14:textFill>
              </w:rPr>
              <w:t>变化进行检测，对事故应急措施的环境可行</w:t>
            </w:r>
            <w:r>
              <w:rPr>
                <w:rFonts w:eastAsia="宋体"/>
                <w:snapToGrid w:val="0"/>
                <w:color w:val="000000" w:themeColor="text1"/>
                <w:spacing w:val="5"/>
                <w:kern w:val="0"/>
                <w:szCs w:val="20"/>
                <w14:textFill>
                  <w14:solidFill>
                    <w14:schemeClr w14:val="tx1"/>
                  </w14:solidFill>
                </w14:textFill>
              </w:rPr>
              <w:t>性进行后影响</w:t>
            </w:r>
            <w:r>
              <w:rPr>
                <w:rFonts w:eastAsia="宋体"/>
                <w:snapToGrid w:val="0"/>
                <w:color w:val="000000" w:themeColor="text1"/>
                <w:spacing w:val="3"/>
                <w:kern w:val="0"/>
                <w:szCs w:val="20"/>
                <w14:textFill>
                  <w14:solidFill>
                    <w14:schemeClr w14:val="tx1"/>
                  </w14:solidFill>
                </w14:textFill>
              </w:rPr>
              <w:t>评价。</w:t>
            </w:r>
          </w:p>
        </w:tc>
      </w:tr>
      <w:tr w14:paraId="5E4F3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12" w:type="dxa"/>
            <w:vAlign w:val="center"/>
          </w:tcPr>
          <w:p w14:paraId="05AA5F3E">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10</w:t>
            </w:r>
          </w:p>
        </w:tc>
        <w:tc>
          <w:tcPr>
            <w:tcW w:w="2975" w:type="dxa"/>
            <w:vAlign w:val="center"/>
          </w:tcPr>
          <w:p w14:paraId="686C6E9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应急培训计划</w:t>
            </w:r>
          </w:p>
        </w:tc>
        <w:tc>
          <w:tcPr>
            <w:tcW w:w="5373" w:type="dxa"/>
          </w:tcPr>
          <w:p w14:paraId="3A6A3709">
            <w:pPr>
              <w:kinsoku w:val="0"/>
              <w:autoSpaceDE w:val="0"/>
              <w:autoSpaceDN w:val="0"/>
              <w:adjustRightInd w:val="0"/>
              <w:snapToGrid w:val="0"/>
              <w:spacing w:before="35" w:line="214" w:lineRule="auto"/>
              <w:ind w:left="113"/>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应急计划制定后，平时安排人员培训与演练。</w:t>
            </w:r>
          </w:p>
        </w:tc>
      </w:tr>
      <w:tr w14:paraId="39D4A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12" w:type="dxa"/>
            <w:vAlign w:val="center"/>
          </w:tcPr>
          <w:p w14:paraId="05ADE57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0"/>
                <w:kern w:val="0"/>
                <w:szCs w:val="20"/>
                <w:lang w:eastAsia="en-US"/>
                <w14:textFill>
                  <w14:solidFill>
                    <w14:schemeClr w14:val="tx1"/>
                  </w14:solidFill>
                </w14:textFill>
              </w:rPr>
              <w:t>11</w:t>
            </w:r>
          </w:p>
        </w:tc>
        <w:tc>
          <w:tcPr>
            <w:tcW w:w="2975" w:type="dxa"/>
            <w:vAlign w:val="center"/>
          </w:tcPr>
          <w:p w14:paraId="251BB2A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公众教育和信息</w:t>
            </w:r>
          </w:p>
        </w:tc>
        <w:tc>
          <w:tcPr>
            <w:tcW w:w="5373" w:type="dxa"/>
          </w:tcPr>
          <w:p w14:paraId="25009046">
            <w:pPr>
              <w:kinsoku w:val="0"/>
              <w:autoSpaceDE w:val="0"/>
              <w:autoSpaceDN w:val="0"/>
              <w:adjustRightInd w:val="0"/>
              <w:snapToGrid w:val="0"/>
              <w:spacing w:before="37" w:line="216" w:lineRule="auto"/>
              <w:ind w:left="112"/>
              <w:jc w:val="left"/>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对邻近地区开展公众教育、培训和发布有关信息。</w:t>
            </w:r>
          </w:p>
        </w:tc>
      </w:tr>
    </w:tbl>
    <w:p w14:paraId="091E1C48">
      <w:pPr>
        <w:pStyle w:val="184"/>
        <w:rPr>
          <w:rFonts w:hint="default" w:cs="Times New Roman"/>
          <w:snapToGrid w:val="0"/>
          <w:color w:val="000000" w:themeColor="text1"/>
          <w:szCs w:val="24"/>
          <w14:textFill>
            <w14:solidFill>
              <w14:schemeClr w14:val="tx1"/>
            </w14:solidFill>
          </w14:textFill>
        </w:rPr>
      </w:pPr>
      <w:bookmarkStart w:id="138" w:name="_Toc24719"/>
      <w:bookmarkStart w:id="139" w:name="_Toc191543582"/>
      <w:bookmarkStart w:id="140" w:name="_Toc192084913"/>
      <w:bookmarkStart w:id="141" w:name="_Toc26383"/>
      <w:bookmarkStart w:id="142" w:name="_Toc190759006"/>
      <w:r>
        <w:rPr>
          <w:rFonts w:hint="default" w:cs="Times New Roman"/>
          <w:snapToGrid w:val="0"/>
          <w:color w:val="000000" w:themeColor="text1"/>
          <w:spacing w:val="-4"/>
          <w:szCs w:val="24"/>
          <w14:textFill>
            <w14:solidFill>
              <w14:schemeClr w14:val="tx1"/>
            </w14:solidFill>
          </w14:textFill>
        </w:rPr>
        <w:t>11.评价结论与建议</w:t>
      </w:r>
      <w:bookmarkEnd w:id="138"/>
      <w:bookmarkEnd w:id="139"/>
      <w:bookmarkEnd w:id="140"/>
      <w:bookmarkEnd w:id="141"/>
      <w:bookmarkEnd w:id="142"/>
    </w:p>
    <w:p w14:paraId="5BC7B5AE">
      <w:pPr>
        <w:pStyle w:val="186"/>
        <w:ind w:firstLine="466"/>
        <w:rPr>
          <w:rFonts w:cs="Times New Roman"/>
          <w:color w:val="000000" w:themeColor="text1"/>
          <w:kern w:val="0"/>
          <w:szCs w:val="24"/>
          <w14:textFill>
            <w14:solidFill>
              <w14:schemeClr w14:val="tx1"/>
            </w14:solidFill>
          </w14:textFill>
        </w:rPr>
      </w:pPr>
      <w:r>
        <w:rPr>
          <w:rFonts w:cs="Times New Roman"/>
          <w:b/>
          <w:bCs/>
          <w:color w:val="000000" w:themeColor="text1"/>
          <w:spacing w:val="-4"/>
          <w:kern w:val="0"/>
          <w:szCs w:val="24"/>
          <w14:textFill>
            <w14:solidFill>
              <w14:schemeClr w14:val="tx1"/>
            </w14:solidFill>
          </w14:textFill>
        </w:rPr>
        <w:t>11.1项目危险因素</w:t>
      </w:r>
    </w:p>
    <w:p w14:paraId="7FABDE4B">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通过对项目物质危险性分析和生产系统危险性分析得</w:t>
      </w:r>
      <w:r>
        <w:rPr>
          <w:rFonts w:cs="Times New Roman"/>
          <w:color w:val="000000" w:themeColor="text1"/>
          <w:spacing w:val="-2"/>
          <w:kern w:val="0"/>
          <w:szCs w:val="24"/>
          <w14:textFill>
            <w14:solidFill>
              <w14:schemeClr w14:val="tx1"/>
            </w14:solidFill>
          </w14:textFill>
        </w:rPr>
        <w:t>知，项目主要的危险因素见下表</w:t>
      </w:r>
      <w:r>
        <w:rPr>
          <w:rFonts w:cs="Times New Roman"/>
          <w:color w:val="000000" w:themeColor="text1"/>
          <w:spacing w:val="-6"/>
          <w:kern w:val="0"/>
          <w:szCs w:val="24"/>
          <w14:textFill>
            <w14:solidFill>
              <w14:schemeClr w14:val="tx1"/>
            </w14:solidFill>
          </w14:textFill>
        </w:rPr>
        <w:t>。</w:t>
      </w:r>
    </w:p>
    <w:p w14:paraId="542723B7">
      <w:pPr>
        <w:pStyle w:val="7"/>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建设项目环境风险汇总表</w:t>
      </w:r>
    </w:p>
    <w:tbl>
      <w:tblPr>
        <w:tblStyle w:val="171"/>
        <w:tblW w:w="9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1697"/>
        <w:gridCol w:w="1711"/>
        <w:gridCol w:w="1574"/>
        <w:gridCol w:w="2576"/>
        <w:gridCol w:w="767"/>
      </w:tblGrid>
      <w:tr w14:paraId="27A4C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34" w:type="dxa"/>
          </w:tcPr>
          <w:p w14:paraId="7E92BAB3">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序号</w:t>
            </w:r>
          </w:p>
        </w:tc>
        <w:tc>
          <w:tcPr>
            <w:tcW w:w="1697" w:type="dxa"/>
          </w:tcPr>
          <w:p w14:paraId="0D6ED42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危险单元</w:t>
            </w:r>
          </w:p>
        </w:tc>
        <w:tc>
          <w:tcPr>
            <w:tcW w:w="1711" w:type="dxa"/>
          </w:tcPr>
          <w:p w14:paraId="2027A26B">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风险源</w:t>
            </w:r>
          </w:p>
        </w:tc>
        <w:tc>
          <w:tcPr>
            <w:tcW w:w="1574" w:type="dxa"/>
          </w:tcPr>
          <w:p w14:paraId="0E37D54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主要危险物质</w:t>
            </w:r>
          </w:p>
        </w:tc>
        <w:tc>
          <w:tcPr>
            <w:tcW w:w="2576" w:type="dxa"/>
          </w:tcPr>
          <w:p w14:paraId="503DD26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环境风险类型</w:t>
            </w:r>
          </w:p>
        </w:tc>
        <w:tc>
          <w:tcPr>
            <w:tcW w:w="767" w:type="dxa"/>
          </w:tcPr>
          <w:p w14:paraId="009BC38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备注</w:t>
            </w:r>
          </w:p>
        </w:tc>
      </w:tr>
      <w:tr w14:paraId="2165D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734" w:type="dxa"/>
          </w:tcPr>
          <w:p w14:paraId="5D744F3F">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1</w:t>
            </w:r>
          </w:p>
        </w:tc>
        <w:tc>
          <w:tcPr>
            <w:tcW w:w="1697" w:type="dxa"/>
          </w:tcPr>
          <w:p w14:paraId="0F37325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原料库房</w:t>
            </w:r>
          </w:p>
        </w:tc>
        <w:tc>
          <w:tcPr>
            <w:tcW w:w="1711" w:type="dxa"/>
          </w:tcPr>
          <w:p w14:paraId="75F3B342">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14:textFill>
                  <w14:solidFill>
                    <w14:schemeClr w14:val="tx1"/>
                  </w14:solidFill>
                </w14:textFill>
              </w:rPr>
              <w:t>原料包装袋或储</w:t>
            </w:r>
            <w:r>
              <w:rPr>
                <w:rFonts w:eastAsia="宋体"/>
                <w:snapToGrid w:val="0"/>
                <w:color w:val="000000" w:themeColor="text1"/>
                <w:spacing w:val="8"/>
                <w:kern w:val="0"/>
                <w:szCs w:val="20"/>
                <w14:textFill>
                  <w14:solidFill>
                    <w14:schemeClr w14:val="tx1"/>
                  </w14:solidFill>
                </w14:textFill>
              </w:rPr>
              <w:t>存设施设备</w:t>
            </w:r>
          </w:p>
        </w:tc>
        <w:tc>
          <w:tcPr>
            <w:tcW w:w="1574" w:type="dxa"/>
          </w:tcPr>
          <w:p w14:paraId="687D2A9B">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硫酸铵</w:t>
            </w:r>
          </w:p>
        </w:tc>
        <w:tc>
          <w:tcPr>
            <w:tcW w:w="2576" w:type="dxa"/>
          </w:tcPr>
          <w:p w14:paraId="6A8B9BE0">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9"/>
                <w:kern w:val="0"/>
                <w:szCs w:val="20"/>
                <w14:textFill>
                  <w14:solidFill>
                    <w14:schemeClr w14:val="tx1"/>
                  </w14:solidFill>
                </w14:textFill>
              </w:rPr>
              <w:t>火灾诱发硫酸铵受热分解</w:t>
            </w:r>
          </w:p>
        </w:tc>
        <w:tc>
          <w:tcPr>
            <w:tcW w:w="767" w:type="dxa"/>
          </w:tcPr>
          <w:p w14:paraId="08883429">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r>
    </w:tbl>
    <w:p w14:paraId="4DE633D0">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根据本项目特点，企业在厂区总平面布置方面，应严</w:t>
      </w:r>
      <w:r>
        <w:rPr>
          <w:rFonts w:cs="Times New Roman"/>
          <w:color w:val="000000" w:themeColor="text1"/>
          <w:spacing w:val="-2"/>
          <w:kern w:val="0"/>
          <w:szCs w:val="24"/>
          <w14:textFill>
            <w14:solidFill>
              <w14:schemeClr w14:val="tx1"/>
            </w14:solidFill>
          </w14:textFill>
        </w:rPr>
        <w:t>格执行相关规范要求，所有</w:t>
      </w:r>
      <w:r>
        <w:rPr>
          <w:rFonts w:cs="Times New Roman"/>
          <w:color w:val="000000" w:themeColor="text1"/>
          <w:spacing w:val="-1"/>
          <w:kern w:val="0"/>
          <w:szCs w:val="24"/>
          <w14:textFill>
            <w14:solidFill>
              <w14:schemeClr w14:val="tx1"/>
            </w14:solidFill>
          </w14:textFill>
        </w:rPr>
        <w:t>建、构筑物之间或与其他场所之间留有足够的防火间距</w:t>
      </w:r>
      <w:r>
        <w:rPr>
          <w:rFonts w:cs="Times New Roman"/>
          <w:color w:val="000000" w:themeColor="text1"/>
          <w:spacing w:val="-2"/>
          <w:kern w:val="0"/>
          <w:szCs w:val="24"/>
          <w14:textFill>
            <w14:solidFill>
              <w14:schemeClr w14:val="tx1"/>
            </w14:solidFill>
          </w14:textFill>
        </w:rPr>
        <w:t>，防止在火灾或爆炸时相互影</w:t>
      </w:r>
      <w:r>
        <w:rPr>
          <w:rFonts w:cs="Times New Roman"/>
          <w:color w:val="000000" w:themeColor="text1"/>
          <w:spacing w:val="-1"/>
          <w:kern w:val="0"/>
          <w:szCs w:val="24"/>
          <w14:textFill>
            <w14:solidFill>
              <w14:schemeClr w14:val="tx1"/>
            </w14:solidFill>
          </w14:textFill>
        </w:rPr>
        <w:t>响；企业应严格按物料特性，对厂区进行危险区划分；</w:t>
      </w:r>
      <w:r>
        <w:rPr>
          <w:rFonts w:cs="Times New Roman"/>
          <w:color w:val="000000" w:themeColor="text1"/>
          <w:spacing w:val="-2"/>
          <w:kern w:val="0"/>
          <w:szCs w:val="24"/>
          <w14:textFill>
            <w14:solidFill>
              <w14:schemeClr w14:val="tx1"/>
            </w14:solidFill>
          </w14:textFill>
        </w:rPr>
        <w:t>日常生产过程中，应增加物料的周转次数，适当调整危险物质存在量（储存量</w:t>
      </w:r>
      <w:r>
        <w:rPr>
          <w:rFonts w:cs="Times New Roman"/>
          <w:color w:val="000000" w:themeColor="text1"/>
          <w:spacing w:val="10"/>
          <w:kern w:val="0"/>
          <w:szCs w:val="24"/>
          <w14:textFill>
            <w14:solidFill>
              <w14:schemeClr w14:val="tx1"/>
            </w14:solidFill>
          </w14:textFill>
        </w:rPr>
        <w:t>），</w:t>
      </w:r>
      <w:r>
        <w:rPr>
          <w:rFonts w:cs="Times New Roman"/>
          <w:color w:val="000000" w:themeColor="text1"/>
          <w:spacing w:val="-2"/>
          <w:kern w:val="0"/>
          <w:szCs w:val="24"/>
          <w14:textFill>
            <w14:solidFill>
              <w14:schemeClr w14:val="tx1"/>
            </w14:solidFill>
          </w14:textFill>
        </w:rPr>
        <w:t>从源头上控制危险物质风险源。</w:t>
      </w:r>
    </w:p>
    <w:p w14:paraId="69A44CDB">
      <w:pPr>
        <w:pStyle w:val="186"/>
        <w:ind w:firstLine="470"/>
        <w:rPr>
          <w:rFonts w:cs="Times New Roman"/>
          <w:color w:val="000000" w:themeColor="text1"/>
          <w:kern w:val="0"/>
          <w:szCs w:val="24"/>
          <w14:textFill>
            <w14:solidFill>
              <w14:schemeClr w14:val="tx1"/>
            </w14:solidFill>
          </w14:textFill>
        </w:rPr>
      </w:pPr>
      <w:r>
        <w:rPr>
          <w:rFonts w:cs="Times New Roman"/>
          <w:b/>
          <w:bCs/>
          <w:color w:val="000000" w:themeColor="text1"/>
          <w:spacing w:val="-3"/>
          <w:kern w:val="0"/>
          <w:szCs w:val="24"/>
          <w14:textFill>
            <w14:solidFill>
              <w14:schemeClr w14:val="tx1"/>
            </w14:solidFill>
          </w14:textFill>
        </w:rPr>
        <w:t>11.2环境敏感性及事故环境影响</w:t>
      </w:r>
    </w:p>
    <w:p w14:paraId="72E9EBB3">
      <w:pPr>
        <w:pStyle w:val="186"/>
        <w:ind w:firstLine="476"/>
        <w:rPr>
          <w:rFonts w:cs="Times New Roman"/>
          <w:color w:val="000000" w:themeColor="text1"/>
          <w:spacing w:val="-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根据预测结果，本项目硫酸铵发生泄漏后，如突发火灾，硫酸铵分解产生的氨气、和二氧化硫在5km评价范围内最大落地浓度均不超标。</w:t>
      </w:r>
    </w:p>
    <w:p w14:paraId="1A968B4E">
      <w:pPr>
        <w:pStyle w:val="186"/>
        <w:ind w:firstLine="480"/>
        <w:rPr>
          <w:rFonts w:cs="Times New Roman"/>
          <w:color w:val="000000" w:themeColor="text1"/>
          <w:kern w:val="0"/>
          <w:szCs w:val="24"/>
          <w14:textFill>
            <w14:solidFill>
              <w14:schemeClr w14:val="tx1"/>
            </w14:solidFill>
          </w14:textFill>
        </w:rPr>
      </w:pPr>
      <w:r>
        <w:rPr>
          <w:rFonts w:cs="Times New Roman"/>
          <w:color w:val="000000" w:themeColor="text1"/>
          <w:kern w:val="0"/>
          <w:szCs w:val="24"/>
          <w14:textFill>
            <w14:solidFill>
              <w14:schemeClr w14:val="tx1"/>
            </w14:solidFill>
          </w14:textFill>
        </w:rPr>
        <w:t>硫酸铵使用运转过程发生洒落，</w:t>
      </w:r>
      <w:r>
        <w:rPr>
          <w:rFonts w:cs="Times New Roman"/>
          <w:color w:val="000000" w:themeColor="text1"/>
          <w:spacing w:val="-6"/>
          <w:kern w:val="0"/>
          <w:szCs w:val="24"/>
          <w14:textFill>
            <w14:solidFill>
              <w14:schemeClr w14:val="tx1"/>
            </w14:solidFill>
          </w14:textFill>
        </w:rPr>
        <w:t>又逢雨水天气，洒落的硫酸铵随雨水排放口进入到水环境的风险很低，硫酸铵为固体，</w:t>
      </w:r>
      <w:r>
        <w:rPr>
          <w:rFonts w:cs="Times New Roman"/>
          <w:color w:val="000000" w:themeColor="text1"/>
          <w:spacing w:val="-1"/>
          <w:kern w:val="0"/>
          <w:szCs w:val="24"/>
          <w14:textFill>
            <w14:solidFill>
              <w14:schemeClr w14:val="tx1"/>
            </w14:solidFill>
          </w14:textFill>
        </w:rPr>
        <w:t>如发生洒落，立即进行收集和处理则可避免进入水环境。</w:t>
      </w:r>
    </w:p>
    <w:p w14:paraId="39EB3A04">
      <w:pPr>
        <w:pStyle w:val="186"/>
        <w:ind w:firstLine="456"/>
        <w:rPr>
          <w:rFonts w:cs="Times New Roman"/>
          <w:color w:val="000000" w:themeColor="text1"/>
          <w:kern w:val="0"/>
          <w:szCs w:val="24"/>
          <w14:textFill>
            <w14:solidFill>
              <w14:schemeClr w14:val="tx1"/>
            </w14:solidFill>
          </w14:textFill>
        </w:rPr>
      </w:pPr>
      <w:r>
        <w:rPr>
          <w:rFonts w:cs="Times New Roman"/>
          <w:color w:val="000000" w:themeColor="text1"/>
          <w:spacing w:val="-6"/>
          <w:kern w:val="0"/>
          <w:szCs w:val="24"/>
          <w14:textFill>
            <w14:solidFill>
              <w14:schemeClr w14:val="tx1"/>
            </w14:solidFill>
          </w14:textFill>
        </w:rPr>
        <w:t>综上所述，对于本项目来说，硫酸铵为固体、本</w:t>
      </w:r>
      <w:r>
        <w:rPr>
          <w:rFonts w:cs="Times New Roman"/>
          <w:color w:val="000000" w:themeColor="text1"/>
          <w:spacing w:val="-7"/>
          <w:kern w:val="0"/>
          <w:szCs w:val="24"/>
          <w14:textFill>
            <w14:solidFill>
              <w14:schemeClr w14:val="tx1"/>
            </w14:solidFill>
          </w14:textFill>
        </w:rPr>
        <w:t>身不燃，发生环境风险概率较低；</w:t>
      </w:r>
      <w:r>
        <w:rPr>
          <w:rFonts w:cs="Times New Roman"/>
          <w:color w:val="000000" w:themeColor="text1"/>
          <w:spacing w:val="-1"/>
          <w:kern w:val="0"/>
          <w:szCs w:val="24"/>
          <w14:textFill>
            <w14:solidFill>
              <w14:schemeClr w14:val="tx1"/>
            </w14:solidFill>
          </w14:textFill>
        </w:rPr>
        <w:t>但当厂区的其他生产管理环节出现问题，如厂区发生火灾时，将间</w:t>
      </w:r>
      <w:r>
        <w:rPr>
          <w:rFonts w:cs="Times New Roman"/>
          <w:color w:val="000000" w:themeColor="text1"/>
          <w:spacing w:val="-2"/>
          <w:kern w:val="0"/>
          <w:szCs w:val="24"/>
          <w14:textFill>
            <w14:solidFill>
              <w14:schemeClr w14:val="tx1"/>
            </w14:solidFill>
          </w14:textFill>
        </w:rPr>
        <w:t>接导致次生污染事</w:t>
      </w:r>
      <w:r>
        <w:rPr>
          <w:rFonts w:cs="Times New Roman"/>
          <w:color w:val="000000" w:themeColor="text1"/>
          <w:spacing w:val="-1"/>
          <w:kern w:val="0"/>
          <w:szCs w:val="24"/>
          <w14:textFill>
            <w14:solidFill>
              <w14:schemeClr w14:val="tx1"/>
            </w14:solidFill>
          </w14:textFill>
        </w:rPr>
        <w:t>件。厂界的环境保护目标均处在安全距离内，只要厂区员工严格遵</w:t>
      </w:r>
      <w:r>
        <w:rPr>
          <w:rFonts w:cs="Times New Roman"/>
          <w:color w:val="000000" w:themeColor="text1"/>
          <w:spacing w:val="-2"/>
          <w:kern w:val="0"/>
          <w:szCs w:val="24"/>
          <w14:textFill>
            <w14:solidFill>
              <w14:schemeClr w14:val="tx1"/>
            </w14:solidFill>
          </w14:textFill>
        </w:rPr>
        <w:t>守国家相关管理规</w:t>
      </w:r>
      <w:r>
        <w:rPr>
          <w:rFonts w:cs="Times New Roman"/>
          <w:color w:val="000000" w:themeColor="text1"/>
          <w:spacing w:val="-1"/>
          <w:kern w:val="0"/>
          <w:szCs w:val="24"/>
          <w14:textFill>
            <w14:solidFill>
              <w14:schemeClr w14:val="tx1"/>
            </w14:solidFill>
          </w14:textFill>
        </w:rPr>
        <w:t>定，对工作本着认真负责的态度，日常加强设备设施的维护管理及</w:t>
      </w:r>
      <w:r>
        <w:rPr>
          <w:rFonts w:cs="Times New Roman"/>
          <w:color w:val="000000" w:themeColor="text1"/>
          <w:spacing w:val="-2"/>
          <w:kern w:val="0"/>
          <w:szCs w:val="24"/>
          <w14:textFill>
            <w14:solidFill>
              <w14:schemeClr w14:val="tx1"/>
            </w14:solidFill>
          </w14:textFill>
        </w:rPr>
        <w:t>操作人员的定期培</w:t>
      </w:r>
      <w:r>
        <w:rPr>
          <w:rFonts w:cs="Times New Roman"/>
          <w:color w:val="000000" w:themeColor="text1"/>
          <w:spacing w:val="-1"/>
          <w:kern w:val="0"/>
          <w:szCs w:val="24"/>
          <w14:textFill>
            <w14:solidFill>
              <w14:schemeClr w14:val="tx1"/>
            </w14:solidFill>
          </w14:textFill>
        </w:rPr>
        <w:t>训，在发生事故时能正确采取相应的安全措施，及时启</w:t>
      </w:r>
      <w:r>
        <w:rPr>
          <w:rFonts w:cs="Times New Roman"/>
          <w:color w:val="000000" w:themeColor="text1"/>
          <w:spacing w:val="-2"/>
          <w:kern w:val="0"/>
          <w:szCs w:val="24"/>
          <w14:textFill>
            <w14:solidFill>
              <w14:schemeClr w14:val="tx1"/>
            </w14:solidFill>
          </w14:textFill>
        </w:rPr>
        <w:t>动事故应急预案，环境风险物</w:t>
      </w:r>
      <w:r>
        <w:rPr>
          <w:rFonts w:cs="Times New Roman"/>
          <w:color w:val="000000" w:themeColor="text1"/>
          <w:spacing w:val="-1"/>
          <w:kern w:val="0"/>
          <w:szCs w:val="24"/>
          <w14:textFill>
            <w14:solidFill>
              <w14:schemeClr w14:val="tx1"/>
            </w14:solidFill>
          </w14:textFill>
        </w:rPr>
        <w:t>质的</w:t>
      </w:r>
      <w:r>
        <w:rPr>
          <w:rFonts w:hint="eastAsia"/>
          <w:color w:val="000000" w:themeColor="text1"/>
          <w:lang w:val="en-US" w:eastAsia="zh-CN"/>
          <w14:textFill>
            <w14:solidFill>
              <w14:schemeClr w14:val="tx1"/>
            </w14:solidFill>
          </w14:textFill>
        </w:rPr>
        <w:t>泄漏</w:t>
      </w:r>
      <w:r>
        <w:rPr>
          <w:rFonts w:cs="Times New Roman"/>
          <w:color w:val="000000" w:themeColor="text1"/>
          <w:spacing w:val="-1"/>
          <w:kern w:val="0"/>
          <w:szCs w:val="24"/>
          <w14:textFill>
            <w14:solidFill>
              <w14:schemeClr w14:val="tx1"/>
            </w14:solidFill>
          </w14:textFill>
        </w:rPr>
        <w:t>及火灾、爆炸等次生事故风险都是可以预防和控制的。</w:t>
      </w:r>
    </w:p>
    <w:p w14:paraId="4773AA41">
      <w:pPr>
        <w:pStyle w:val="186"/>
        <w:ind w:firstLine="470"/>
        <w:rPr>
          <w:rFonts w:cs="Times New Roman"/>
          <w:color w:val="000000" w:themeColor="text1"/>
          <w:kern w:val="0"/>
          <w:szCs w:val="24"/>
          <w14:textFill>
            <w14:solidFill>
              <w14:schemeClr w14:val="tx1"/>
            </w14:solidFill>
          </w14:textFill>
        </w:rPr>
      </w:pPr>
      <w:r>
        <w:rPr>
          <w:rFonts w:cs="Times New Roman"/>
          <w:b/>
          <w:bCs/>
          <w:color w:val="000000" w:themeColor="text1"/>
          <w:spacing w:val="-3"/>
          <w:kern w:val="0"/>
          <w:szCs w:val="24"/>
          <w14:textFill>
            <w14:solidFill>
              <w14:schemeClr w14:val="tx1"/>
            </w14:solidFill>
          </w14:textFill>
        </w:rPr>
        <w:t>11.3环境风险防范措施和应急预案</w:t>
      </w:r>
    </w:p>
    <w:p w14:paraId="499C2537">
      <w:pPr>
        <w:pStyle w:val="186"/>
        <w:ind w:firstLine="472"/>
        <w:jc w:val="both"/>
        <w:rPr>
          <w:rFonts w:cs="Times New Roman"/>
          <w:color w:val="000000" w:themeColor="text1"/>
          <w:kern w:val="0"/>
          <w:szCs w:val="24"/>
          <w14:textFill>
            <w14:solidFill>
              <w14:schemeClr w14:val="tx1"/>
            </w14:solidFill>
          </w14:textFill>
        </w:rPr>
      </w:pPr>
      <w:r>
        <w:rPr>
          <w:rFonts w:cs="Times New Roman"/>
          <w:color w:val="000000" w:themeColor="text1"/>
          <w:spacing w:val="-2"/>
          <w:kern w:val="0"/>
          <w:szCs w:val="24"/>
          <w14:textFill>
            <w14:solidFill>
              <w14:schemeClr w14:val="tx1"/>
            </w14:solidFill>
          </w14:textFill>
        </w:rPr>
        <w:t>当发生事故时，根据前期的应急救援演练经验，及时采取应急，立即关闭有关阀</w:t>
      </w:r>
      <w:r>
        <w:rPr>
          <w:rFonts w:cs="Times New Roman"/>
          <w:color w:val="000000" w:themeColor="text1"/>
          <w:spacing w:val="-1"/>
          <w:kern w:val="0"/>
          <w:szCs w:val="24"/>
          <w14:textFill>
            <w14:solidFill>
              <w14:schemeClr w14:val="tx1"/>
            </w14:solidFill>
          </w14:textFill>
        </w:rPr>
        <w:t>门，停止所有生产作业，及时组织厂内工作人员及周边受威</w:t>
      </w:r>
      <w:r>
        <w:rPr>
          <w:rFonts w:cs="Times New Roman"/>
          <w:color w:val="000000" w:themeColor="text1"/>
          <w:spacing w:val="-2"/>
          <w:kern w:val="0"/>
          <w:szCs w:val="24"/>
          <w14:textFill>
            <w14:solidFill>
              <w14:schemeClr w14:val="tx1"/>
            </w14:solidFill>
          </w14:textFill>
        </w:rPr>
        <w:t>胁人员的转移，人员转移</w:t>
      </w:r>
      <w:r>
        <w:rPr>
          <w:rFonts w:cs="Times New Roman"/>
          <w:color w:val="000000" w:themeColor="text1"/>
          <w:spacing w:val="-1"/>
          <w:kern w:val="0"/>
          <w:szCs w:val="24"/>
          <w14:textFill>
            <w14:solidFill>
              <w14:schemeClr w14:val="tx1"/>
            </w14:solidFill>
          </w14:textFill>
        </w:rPr>
        <w:t>过程中严防火花产生，防止再次引发火灾及爆炸；及时联</w:t>
      </w:r>
      <w:r>
        <w:rPr>
          <w:rFonts w:cs="Times New Roman"/>
          <w:color w:val="000000" w:themeColor="text1"/>
          <w:spacing w:val="-2"/>
          <w:kern w:val="0"/>
          <w:szCs w:val="24"/>
          <w14:textFill>
            <w14:solidFill>
              <w14:schemeClr w14:val="tx1"/>
            </w14:solidFill>
          </w14:textFill>
        </w:rPr>
        <w:t>系区域应急部门，寻求相</w:t>
      </w:r>
      <w:r>
        <w:rPr>
          <w:rFonts w:cs="Times New Roman"/>
          <w:color w:val="000000" w:themeColor="text1"/>
          <w:spacing w:val="-6"/>
          <w:kern w:val="0"/>
          <w:szCs w:val="24"/>
          <w14:textFill>
            <w14:solidFill>
              <w14:schemeClr w14:val="tx1"/>
            </w14:solidFill>
          </w14:textFill>
        </w:rPr>
        <w:t>关救援部门的帮助。当事故得到控制后及时组织人员进行抢修，修复后立即启动设备，</w:t>
      </w:r>
      <w:r>
        <w:rPr>
          <w:rFonts w:cs="Times New Roman"/>
          <w:color w:val="000000" w:themeColor="text1"/>
          <w:spacing w:val="-1"/>
          <w:kern w:val="0"/>
          <w:szCs w:val="24"/>
          <w14:textFill>
            <w14:solidFill>
              <w14:schemeClr w14:val="tx1"/>
            </w14:solidFill>
          </w14:textFill>
        </w:rPr>
        <w:t>以检查设备是否修好。同时为防止造成事故废水及次生污染</w:t>
      </w:r>
      <w:r>
        <w:rPr>
          <w:rFonts w:cs="Times New Roman"/>
          <w:color w:val="000000" w:themeColor="text1"/>
          <w:spacing w:val="-2"/>
          <w:kern w:val="0"/>
          <w:szCs w:val="24"/>
          <w14:textFill>
            <w14:solidFill>
              <w14:schemeClr w14:val="tx1"/>
            </w14:solidFill>
          </w14:textFill>
        </w:rPr>
        <w:t>物对外环境造成污染，应</w:t>
      </w:r>
      <w:r>
        <w:rPr>
          <w:rFonts w:cs="Times New Roman"/>
          <w:color w:val="000000" w:themeColor="text1"/>
          <w:spacing w:val="-1"/>
          <w:kern w:val="0"/>
          <w:szCs w:val="24"/>
          <w14:textFill>
            <w14:solidFill>
              <w14:schemeClr w14:val="tx1"/>
            </w14:solidFill>
          </w14:textFill>
        </w:rPr>
        <w:t>联系环境监测部门对排放废气、污水进行水质检测，以便及</w:t>
      </w:r>
      <w:r>
        <w:rPr>
          <w:rFonts w:cs="Times New Roman"/>
          <w:color w:val="000000" w:themeColor="text1"/>
          <w:spacing w:val="-2"/>
          <w:kern w:val="0"/>
          <w:szCs w:val="24"/>
          <w14:textFill>
            <w14:solidFill>
              <w14:schemeClr w14:val="tx1"/>
            </w14:solidFill>
          </w14:textFill>
        </w:rPr>
        <w:t>时进行环境污染恢复与治</w:t>
      </w:r>
      <w:r>
        <w:rPr>
          <w:rFonts w:cs="Times New Roman"/>
          <w:color w:val="000000" w:themeColor="text1"/>
          <w:spacing w:val="-6"/>
          <w:kern w:val="0"/>
          <w:szCs w:val="24"/>
          <w14:textFill>
            <w14:solidFill>
              <w14:schemeClr w14:val="tx1"/>
            </w14:solidFill>
          </w14:textFill>
        </w:rPr>
        <w:t>理。</w:t>
      </w:r>
    </w:p>
    <w:p w14:paraId="3BBFEC6D">
      <w:pPr>
        <w:pStyle w:val="186"/>
        <w:ind w:firstLine="476"/>
        <w:jc w:val="both"/>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企业各类项目投产前应根据相关标准编制突</w:t>
      </w:r>
      <w:r>
        <w:rPr>
          <w:rFonts w:cs="Times New Roman"/>
          <w:color w:val="000000" w:themeColor="text1"/>
          <w:spacing w:val="-2"/>
          <w:kern w:val="0"/>
          <w:szCs w:val="24"/>
          <w14:textFill>
            <w14:solidFill>
              <w14:schemeClr w14:val="tx1"/>
            </w14:solidFill>
          </w14:textFill>
        </w:rPr>
        <w:t>发环境事件应急预案，应包括预案适</w:t>
      </w:r>
      <w:r>
        <w:rPr>
          <w:rFonts w:cs="Times New Roman"/>
          <w:color w:val="000000" w:themeColor="text1"/>
          <w:spacing w:val="-5"/>
          <w:kern w:val="0"/>
          <w:szCs w:val="24"/>
          <w14:textFill>
            <w14:solidFill>
              <w14:schemeClr w14:val="tx1"/>
            </w14:solidFill>
          </w14:textFill>
        </w:rPr>
        <w:t>用范围、环境事件分类与分级、组织机构与</w:t>
      </w:r>
      <w:r>
        <w:rPr>
          <w:rFonts w:cs="Times New Roman"/>
          <w:color w:val="000000" w:themeColor="text1"/>
          <w:spacing w:val="-6"/>
          <w:kern w:val="0"/>
          <w:szCs w:val="24"/>
          <w14:textFill>
            <w14:solidFill>
              <w14:schemeClr w14:val="tx1"/>
            </w14:solidFill>
          </w14:textFill>
        </w:rPr>
        <w:t>职责、监控和预警、应急响应、应急保障、</w:t>
      </w:r>
      <w:r>
        <w:rPr>
          <w:rFonts w:cs="Times New Roman"/>
          <w:color w:val="000000" w:themeColor="text1"/>
          <w:spacing w:val="-3"/>
          <w:kern w:val="0"/>
          <w:szCs w:val="24"/>
          <w14:textFill>
            <w14:solidFill>
              <w14:schemeClr w14:val="tx1"/>
            </w14:solidFill>
          </w14:textFill>
        </w:rPr>
        <w:t>善后处置、预案管理与演练等内容。同时，应明确企业、地方政府环</w:t>
      </w:r>
      <w:r>
        <w:rPr>
          <w:rFonts w:cs="Times New Roman"/>
          <w:color w:val="000000" w:themeColor="text1"/>
          <w:spacing w:val="-4"/>
          <w:kern w:val="0"/>
          <w:szCs w:val="24"/>
          <w14:textFill>
            <w14:solidFill>
              <w14:schemeClr w14:val="tx1"/>
            </w14:solidFill>
          </w14:textFill>
        </w:rPr>
        <w:t>境风</w:t>
      </w:r>
      <w:r>
        <w:rPr>
          <w:rFonts w:cs="Times New Roman"/>
          <w:color w:val="000000" w:themeColor="text1"/>
          <w:spacing w:val="-1"/>
          <w:kern w:val="0"/>
          <w:szCs w:val="24"/>
          <w14:textFill>
            <w14:solidFill>
              <w14:schemeClr w14:val="tx1"/>
            </w14:solidFill>
          </w14:textFill>
        </w:rPr>
        <w:t>险应急体系，应急预案应体现分级响应、区域联动的原则，与</w:t>
      </w:r>
      <w:r>
        <w:rPr>
          <w:rFonts w:cs="Times New Roman"/>
          <w:color w:val="000000" w:themeColor="text1"/>
          <w:spacing w:val="-2"/>
          <w:kern w:val="0"/>
          <w:szCs w:val="24"/>
          <w14:textFill>
            <w14:solidFill>
              <w14:schemeClr w14:val="tx1"/>
            </w14:solidFill>
          </w14:textFill>
        </w:rPr>
        <w:t>地方政府突发环境事件</w:t>
      </w:r>
      <w:r>
        <w:rPr>
          <w:rFonts w:cs="Times New Roman"/>
          <w:color w:val="000000" w:themeColor="text1"/>
          <w:spacing w:val="-1"/>
          <w:kern w:val="0"/>
          <w:szCs w:val="24"/>
          <w14:textFill>
            <w14:solidFill>
              <w14:schemeClr w14:val="tx1"/>
            </w14:solidFill>
          </w14:textFill>
        </w:rPr>
        <w:t>应急预案相衔接，明确分级响应程序。</w:t>
      </w:r>
    </w:p>
    <w:p w14:paraId="12ABB73C">
      <w:pPr>
        <w:pStyle w:val="186"/>
        <w:ind w:firstLine="480"/>
        <w:jc w:val="both"/>
        <w:rPr>
          <w:rFonts w:cs="Times New Roman"/>
          <w:color w:val="000000" w:themeColor="text1"/>
          <w:kern w:val="0"/>
          <w:szCs w:val="24"/>
          <w14:textFill>
            <w14:solidFill>
              <w14:schemeClr w14:val="tx1"/>
            </w14:solidFill>
          </w14:textFill>
        </w:rPr>
      </w:pPr>
      <w:r>
        <w:rPr>
          <w:rFonts w:cs="Times New Roman"/>
          <w:color w:val="000000" w:themeColor="text1"/>
          <w:kern w:val="0"/>
          <w:szCs w:val="24"/>
          <w14:textFill>
            <w14:solidFill>
              <w14:schemeClr w14:val="tx1"/>
            </w14:solidFill>
          </w14:textFill>
        </w:rPr>
        <w:t>日常运行管理过程中，企业应配合当地地方对其进行全面分析，对潜在的危险事故类型及发生火灾、爆炸危险指数，毒性气体扩散潜在的危险性等进行系统分析和评估；根据评估分析结论及企业实际生产运行情况，及时优化调整风险防范措施，完善和加强环境风险的日常防范。</w:t>
      </w:r>
    </w:p>
    <w:p w14:paraId="386551CD">
      <w:pPr>
        <w:pStyle w:val="186"/>
        <w:ind w:firstLine="470"/>
        <w:rPr>
          <w:rFonts w:cs="Times New Roman"/>
          <w:color w:val="000000" w:themeColor="text1"/>
          <w:kern w:val="0"/>
          <w:szCs w:val="24"/>
          <w14:textFill>
            <w14:solidFill>
              <w14:schemeClr w14:val="tx1"/>
            </w14:solidFill>
          </w14:textFill>
        </w:rPr>
      </w:pPr>
      <w:r>
        <w:rPr>
          <w:rFonts w:cs="Times New Roman"/>
          <w:b/>
          <w:bCs/>
          <w:color w:val="000000" w:themeColor="text1"/>
          <w:spacing w:val="-3"/>
          <w:kern w:val="0"/>
          <w:szCs w:val="24"/>
          <w14:textFill>
            <w14:solidFill>
              <w14:schemeClr w14:val="tx1"/>
            </w14:solidFill>
          </w14:textFill>
        </w:rPr>
        <w:t>11.4环境风险评价结论与建议</w:t>
      </w:r>
    </w:p>
    <w:p w14:paraId="3A58CCE2">
      <w:pPr>
        <w:pStyle w:val="186"/>
        <w:ind w:firstLine="476"/>
        <w:rPr>
          <w:rFonts w:cs="Times New Roman"/>
          <w:color w:val="000000" w:themeColor="text1"/>
          <w:kern w:val="0"/>
          <w:szCs w:val="24"/>
          <w14:textFill>
            <w14:solidFill>
              <w14:schemeClr w14:val="tx1"/>
            </w14:solidFill>
          </w14:textFill>
        </w:rPr>
      </w:pPr>
      <w:r>
        <w:rPr>
          <w:rFonts w:cs="Times New Roman"/>
          <w:color w:val="000000" w:themeColor="text1"/>
          <w:spacing w:val="-1"/>
          <w:kern w:val="0"/>
          <w:szCs w:val="24"/>
          <w14:textFill>
            <w14:solidFill>
              <w14:schemeClr w14:val="tx1"/>
            </w14:solidFill>
          </w14:textFill>
        </w:rPr>
        <w:t>企业应从运行管理培训、生产装置设备风险</w:t>
      </w:r>
      <w:r>
        <w:rPr>
          <w:rFonts w:cs="Times New Roman"/>
          <w:color w:val="000000" w:themeColor="text1"/>
          <w:spacing w:val="-2"/>
          <w:kern w:val="0"/>
          <w:szCs w:val="24"/>
          <w14:textFill>
            <w14:solidFill>
              <w14:schemeClr w14:val="tx1"/>
            </w14:solidFill>
          </w14:textFill>
        </w:rPr>
        <w:t>防范等多方面积极采取防护措施，加</w:t>
      </w:r>
      <w:r>
        <w:rPr>
          <w:rFonts w:cs="Times New Roman"/>
          <w:color w:val="000000" w:themeColor="text1"/>
          <w:spacing w:val="-1"/>
          <w:kern w:val="0"/>
          <w:szCs w:val="24"/>
          <w14:textFill>
            <w14:solidFill>
              <w14:schemeClr w14:val="tx1"/>
            </w14:solidFill>
          </w14:textFill>
        </w:rPr>
        <w:t>强日常风险管理，通过相应的技术手段降低风险发生概率，一旦</w:t>
      </w:r>
      <w:r>
        <w:rPr>
          <w:rFonts w:cs="Times New Roman"/>
          <w:color w:val="000000" w:themeColor="text1"/>
          <w:spacing w:val="-2"/>
          <w:kern w:val="0"/>
          <w:szCs w:val="24"/>
          <w14:textFill>
            <w14:solidFill>
              <w14:schemeClr w14:val="tx1"/>
            </w14:solidFill>
          </w14:textFill>
        </w:rPr>
        <w:t>风险事故发生后，及</w:t>
      </w:r>
      <w:r>
        <w:rPr>
          <w:rFonts w:cs="Times New Roman"/>
          <w:color w:val="000000" w:themeColor="text1"/>
          <w:spacing w:val="-1"/>
          <w:kern w:val="0"/>
          <w:szCs w:val="24"/>
          <w14:textFill>
            <w14:solidFill>
              <w14:schemeClr w14:val="tx1"/>
            </w14:solidFill>
          </w14:textFill>
        </w:rPr>
        <w:t>时采取风险防范措施及应急预案，可以使风险事故对环境的危害</w:t>
      </w:r>
      <w:r>
        <w:rPr>
          <w:rFonts w:cs="Times New Roman"/>
          <w:color w:val="000000" w:themeColor="text1"/>
          <w:spacing w:val="-2"/>
          <w:kern w:val="0"/>
          <w:szCs w:val="24"/>
          <w14:textFill>
            <w14:solidFill>
              <w14:schemeClr w14:val="tx1"/>
            </w14:solidFill>
          </w14:textFill>
        </w:rPr>
        <w:t>得到有效控制，将事</w:t>
      </w:r>
      <w:r>
        <w:rPr>
          <w:rFonts w:cs="Times New Roman"/>
          <w:color w:val="000000" w:themeColor="text1"/>
          <w:spacing w:val="-1"/>
          <w:kern w:val="0"/>
          <w:szCs w:val="24"/>
          <w14:textFill>
            <w14:solidFill>
              <w14:schemeClr w14:val="tx1"/>
            </w14:solidFill>
          </w14:textFill>
        </w:rPr>
        <w:t>故风险控制在可以接受的范围内，因此只要企业做好安全、环保</w:t>
      </w:r>
      <w:r>
        <w:rPr>
          <w:rFonts w:cs="Times New Roman"/>
          <w:color w:val="000000" w:themeColor="text1"/>
          <w:spacing w:val="-2"/>
          <w:kern w:val="0"/>
          <w:szCs w:val="24"/>
          <w14:textFill>
            <w14:solidFill>
              <w14:schemeClr w14:val="tx1"/>
            </w14:solidFill>
          </w14:textFill>
        </w:rPr>
        <w:t>管理工作，一般此类</w:t>
      </w:r>
      <w:r>
        <w:rPr>
          <w:rFonts w:cs="Times New Roman"/>
          <w:color w:val="000000" w:themeColor="text1"/>
          <w:spacing w:val="-1"/>
          <w:kern w:val="0"/>
          <w:szCs w:val="24"/>
          <w14:textFill>
            <w14:solidFill>
              <w14:schemeClr w14:val="tx1"/>
            </w14:solidFill>
          </w14:textFill>
        </w:rPr>
        <w:t>事故发生概率较小，是可以承受的。实施各项环保措施和本评价</w:t>
      </w:r>
      <w:r>
        <w:rPr>
          <w:rFonts w:cs="Times New Roman"/>
          <w:color w:val="000000" w:themeColor="text1"/>
          <w:spacing w:val="-2"/>
          <w:kern w:val="0"/>
          <w:szCs w:val="24"/>
          <w14:textFill>
            <w14:solidFill>
              <w14:schemeClr w14:val="tx1"/>
            </w14:solidFill>
          </w14:textFill>
        </w:rPr>
        <w:t>所列出的各项环境风</w:t>
      </w:r>
      <w:r>
        <w:rPr>
          <w:rFonts w:cs="Times New Roman"/>
          <w:color w:val="000000" w:themeColor="text1"/>
          <w:spacing w:val="-1"/>
          <w:kern w:val="0"/>
          <w:szCs w:val="24"/>
          <w14:textFill>
            <w14:solidFill>
              <w14:schemeClr w14:val="tx1"/>
            </w14:solidFill>
          </w14:textFill>
        </w:rPr>
        <w:t>险防范措施，建立有效的突发环境事件应急预案体系，在落实各</w:t>
      </w:r>
      <w:r>
        <w:rPr>
          <w:rFonts w:cs="Times New Roman"/>
          <w:color w:val="000000" w:themeColor="text1"/>
          <w:spacing w:val="-2"/>
          <w:kern w:val="0"/>
          <w:szCs w:val="24"/>
          <w14:textFill>
            <w14:solidFill>
              <w14:schemeClr w14:val="tx1"/>
            </w14:solidFill>
          </w14:textFill>
        </w:rPr>
        <w:t>项风险防范及应急措</w:t>
      </w:r>
      <w:r>
        <w:rPr>
          <w:rFonts w:cs="Times New Roman"/>
          <w:color w:val="000000" w:themeColor="text1"/>
          <w:spacing w:val="-1"/>
          <w:kern w:val="0"/>
          <w:szCs w:val="24"/>
          <w14:textFill>
            <w14:solidFill>
              <w14:schemeClr w14:val="tx1"/>
            </w14:solidFill>
          </w14:textFill>
        </w:rPr>
        <w:t>施的前提下，本项目环境风险可防可控的。</w:t>
      </w:r>
    </w:p>
    <w:p w14:paraId="64EE135C">
      <w:pPr>
        <w:pStyle w:val="7"/>
        <w:pageBreakBefore/>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SEQ 表 \* ARABIC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环境风险评价自查表</w:t>
      </w:r>
    </w:p>
    <w:tbl>
      <w:tblPr>
        <w:tblStyle w:val="171"/>
        <w:tblW w:w="91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2"/>
        <w:gridCol w:w="1460"/>
        <w:gridCol w:w="1206"/>
        <w:gridCol w:w="505"/>
        <w:gridCol w:w="693"/>
        <w:gridCol w:w="956"/>
        <w:gridCol w:w="1014"/>
        <w:gridCol w:w="652"/>
        <w:gridCol w:w="729"/>
        <w:gridCol w:w="1426"/>
      </w:tblGrid>
      <w:tr w14:paraId="32C6E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972" w:type="dxa"/>
            <w:gridSpan w:val="2"/>
            <w:tcBorders>
              <w:tl2br w:val="nil"/>
              <w:tr2bl w:val="nil"/>
            </w:tcBorders>
          </w:tcPr>
          <w:p w14:paraId="5647D7CC">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工作内容</w:t>
            </w:r>
          </w:p>
        </w:tc>
        <w:tc>
          <w:tcPr>
            <w:tcW w:w="7181" w:type="dxa"/>
            <w:gridSpan w:val="8"/>
            <w:tcBorders>
              <w:tl2br w:val="nil"/>
              <w:tr2bl w:val="nil"/>
            </w:tcBorders>
          </w:tcPr>
          <w:p w14:paraId="4F99357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完成情况</w:t>
            </w:r>
          </w:p>
        </w:tc>
      </w:tr>
      <w:tr w14:paraId="3B5A4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512" w:type="dxa"/>
            <w:vMerge w:val="restart"/>
            <w:tcBorders>
              <w:tl2br w:val="nil"/>
              <w:tr2bl w:val="nil"/>
            </w:tcBorders>
            <w:textDirection w:val="tbRlV"/>
          </w:tcPr>
          <w:p w14:paraId="476B3C6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风险调查</w:t>
            </w:r>
          </w:p>
        </w:tc>
        <w:tc>
          <w:tcPr>
            <w:tcW w:w="1460" w:type="dxa"/>
            <w:vMerge w:val="restart"/>
            <w:tcBorders>
              <w:tl2br w:val="nil"/>
              <w:tr2bl w:val="nil"/>
            </w:tcBorders>
          </w:tcPr>
          <w:p w14:paraId="14F90B6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危险物质</w:t>
            </w:r>
          </w:p>
        </w:tc>
        <w:tc>
          <w:tcPr>
            <w:tcW w:w="1206" w:type="dxa"/>
            <w:tcBorders>
              <w:tl2br w:val="nil"/>
              <w:tr2bl w:val="nil"/>
            </w:tcBorders>
          </w:tcPr>
          <w:p w14:paraId="33085F3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名称</w:t>
            </w:r>
          </w:p>
        </w:tc>
        <w:tc>
          <w:tcPr>
            <w:tcW w:w="1198" w:type="dxa"/>
            <w:gridSpan w:val="2"/>
            <w:tcBorders>
              <w:tl2br w:val="nil"/>
              <w:tr2bl w:val="nil"/>
            </w:tcBorders>
          </w:tcPr>
          <w:p w14:paraId="0DD59E86">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硫酸铵</w:t>
            </w:r>
          </w:p>
        </w:tc>
        <w:tc>
          <w:tcPr>
            <w:tcW w:w="955" w:type="dxa"/>
            <w:tcBorders>
              <w:tl2br w:val="nil"/>
              <w:tr2bl w:val="nil"/>
            </w:tcBorders>
          </w:tcPr>
          <w:p w14:paraId="49605D9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p>
        </w:tc>
        <w:tc>
          <w:tcPr>
            <w:tcW w:w="1014" w:type="dxa"/>
            <w:tcBorders>
              <w:tl2br w:val="nil"/>
              <w:tr2bl w:val="nil"/>
            </w:tcBorders>
          </w:tcPr>
          <w:p w14:paraId="1D590E2B">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380" w:type="dxa"/>
            <w:gridSpan w:val="2"/>
            <w:tcBorders>
              <w:tl2br w:val="nil"/>
              <w:tr2bl w:val="nil"/>
            </w:tcBorders>
          </w:tcPr>
          <w:p w14:paraId="68F90A02">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25" w:type="dxa"/>
            <w:tcBorders>
              <w:tl2br w:val="nil"/>
              <w:tr2bl w:val="nil"/>
            </w:tcBorders>
          </w:tcPr>
          <w:p w14:paraId="5D521BAC">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r>
      <w:tr w14:paraId="6F06D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12" w:type="dxa"/>
            <w:vMerge w:val="continue"/>
            <w:tcBorders>
              <w:tl2br w:val="nil"/>
              <w:tr2bl w:val="nil"/>
            </w:tcBorders>
            <w:textDirection w:val="tbRlV"/>
          </w:tcPr>
          <w:p w14:paraId="6A1885EA">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vMerge w:val="continue"/>
            <w:tcBorders>
              <w:tl2br w:val="nil"/>
              <w:tr2bl w:val="nil"/>
            </w:tcBorders>
          </w:tcPr>
          <w:p w14:paraId="3D11711B">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tcBorders>
              <w:tl2br w:val="nil"/>
              <w:tr2bl w:val="nil"/>
            </w:tcBorders>
          </w:tcPr>
          <w:p w14:paraId="7328F67B">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存在总量/t</w:t>
            </w:r>
          </w:p>
        </w:tc>
        <w:tc>
          <w:tcPr>
            <w:tcW w:w="1198" w:type="dxa"/>
            <w:gridSpan w:val="2"/>
            <w:tcBorders>
              <w:tl2br w:val="nil"/>
              <w:tr2bl w:val="nil"/>
            </w:tcBorders>
          </w:tcPr>
          <w:p w14:paraId="5EE3796F">
            <w:pPr>
              <w:widowControl/>
              <w:kinsoku w:val="0"/>
              <w:autoSpaceDE w:val="0"/>
              <w:autoSpaceDN w:val="0"/>
              <w:adjustRightInd w:val="0"/>
              <w:snapToGrid w:val="0"/>
              <w:jc w:val="center"/>
              <w:textAlignment w:val="baseline"/>
              <w:rPr>
                <w:rFonts w:hint="default" w:eastAsia="宋体"/>
                <w:snapToGrid w:val="0"/>
                <w:color w:val="000000" w:themeColor="text1"/>
                <w:kern w:val="0"/>
                <w:szCs w:val="20"/>
                <w:lang w:val="en-US" w:eastAsia="zh-CN"/>
                <w14:textFill>
                  <w14:solidFill>
                    <w14:schemeClr w14:val="tx1"/>
                  </w14:solidFill>
                </w14:textFill>
              </w:rPr>
            </w:pPr>
            <w:r>
              <w:rPr>
                <w:rFonts w:hint="eastAsia" w:eastAsia="宋体"/>
                <w:snapToGrid w:val="0"/>
                <w:color w:val="000000" w:themeColor="text1"/>
                <w:kern w:val="0"/>
                <w:szCs w:val="20"/>
                <w:lang w:val="en-US" w:eastAsia="zh-CN"/>
                <w14:textFill>
                  <w14:solidFill>
                    <w14:schemeClr w14:val="tx1"/>
                  </w14:solidFill>
                </w14:textFill>
              </w:rPr>
              <w:t>84</w:t>
            </w:r>
          </w:p>
        </w:tc>
        <w:tc>
          <w:tcPr>
            <w:tcW w:w="955" w:type="dxa"/>
            <w:tcBorders>
              <w:tl2br w:val="nil"/>
              <w:tr2bl w:val="nil"/>
            </w:tcBorders>
          </w:tcPr>
          <w:p w14:paraId="08A7804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p>
        </w:tc>
        <w:tc>
          <w:tcPr>
            <w:tcW w:w="1014" w:type="dxa"/>
            <w:tcBorders>
              <w:tl2br w:val="nil"/>
              <w:tr2bl w:val="nil"/>
            </w:tcBorders>
          </w:tcPr>
          <w:p w14:paraId="3BD28518">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380" w:type="dxa"/>
            <w:gridSpan w:val="2"/>
            <w:tcBorders>
              <w:tl2br w:val="nil"/>
              <w:tr2bl w:val="nil"/>
            </w:tcBorders>
          </w:tcPr>
          <w:p w14:paraId="096C23B0">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25" w:type="dxa"/>
            <w:tcBorders>
              <w:tl2br w:val="nil"/>
              <w:tr2bl w:val="nil"/>
            </w:tcBorders>
          </w:tcPr>
          <w:p w14:paraId="60025ED2">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r>
      <w:tr w14:paraId="62868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12" w:type="dxa"/>
            <w:vMerge w:val="continue"/>
            <w:tcBorders>
              <w:tl2br w:val="nil"/>
              <w:tr2bl w:val="nil"/>
            </w:tcBorders>
            <w:textDirection w:val="tbRlV"/>
          </w:tcPr>
          <w:p w14:paraId="658D20D1">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vMerge w:val="restart"/>
            <w:tcBorders>
              <w:tl2br w:val="nil"/>
              <w:tr2bl w:val="nil"/>
            </w:tcBorders>
          </w:tcPr>
          <w:p w14:paraId="400E78D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环境敏感性</w:t>
            </w:r>
          </w:p>
        </w:tc>
        <w:tc>
          <w:tcPr>
            <w:tcW w:w="1206" w:type="dxa"/>
            <w:vMerge w:val="restart"/>
            <w:tcBorders>
              <w:tl2br w:val="nil"/>
              <w:tr2bl w:val="nil"/>
            </w:tcBorders>
          </w:tcPr>
          <w:p w14:paraId="1F6E43D7">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大气</w:t>
            </w:r>
          </w:p>
        </w:tc>
        <w:tc>
          <w:tcPr>
            <w:tcW w:w="3168" w:type="dxa"/>
            <w:gridSpan w:val="4"/>
            <w:tcBorders>
              <w:tl2br w:val="nil"/>
              <w:tr2bl w:val="nil"/>
            </w:tcBorders>
          </w:tcPr>
          <w:p w14:paraId="434592F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500m范围内人口数</w:t>
            </w:r>
            <w:r>
              <w:rPr>
                <w:rFonts w:hint="eastAsia" w:eastAsia="宋体"/>
                <w:snapToGrid w:val="0"/>
                <w:color w:val="000000" w:themeColor="text1"/>
                <w:spacing w:val="5"/>
                <w:kern w:val="0"/>
                <w:szCs w:val="20"/>
                <w:u w:val="single"/>
                <w14:textFill>
                  <w14:solidFill>
                    <w14:schemeClr w14:val="tx1"/>
                  </w14:solidFill>
                </w14:textFill>
              </w:rPr>
              <w:t>350</w:t>
            </w:r>
            <w:r>
              <w:rPr>
                <w:rFonts w:eastAsia="宋体"/>
                <w:snapToGrid w:val="0"/>
                <w:color w:val="000000" w:themeColor="text1"/>
                <w:spacing w:val="5"/>
                <w:kern w:val="0"/>
                <w:szCs w:val="20"/>
                <w:lang w:eastAsia="en-US"/>
                <w14:textFill>
                  <w14:solidFill>
                    <w14:schemeClr w14:val="tx1"/>
                  </w14:solidFill>
                </w14:textFill>
              </w:rPr>
              <w:t>人</w:t>
            </w:r>
          </w:p>
        </w:tc>
        <w:tc>
          <w:tcPr>
            <w:tcW w:w="2806" w:type="dxa"/>
            <w:gridSpan w:val="3"/>
            <w:tcBorders>
              <w:tl2br w:val="nil"/>
              <w:tr2bl w:val="nil"/>
            </w:tcBorders>
          </w:tcPr>
          <w:p w14:paraId="45462D3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5</w:t>
            </w:r>
            <w:r>
              <w:rPr>
                <w:rFonts w:eastAsia="宋体"/>
                <w:snapToGrid w:val="0"/>
                <w:color w:val="000000" w:themeColor="text1"/>
                <w:kern w:val="0"/>
                <w:szCs w:val="20"/>
                <w:lang w:eastAsia="en-US"/>
                <w14:textFill>
                  <w14:solidFill>
                    <w14:schemeClr w14:val="tx1"/>
                  </w14:solidFill>
                </w14:textFill>
              </w:rPr>
              <w:t>km</w:t>
            </w:r>
            <w:r>
              <w:rPr>
                <w:rFonts w:eastAsia="宋体"/>
                <w:snapToGrid w:val="0"/>
                <w:color w:val="000000" w:themeColor="text1"/>
                <w:spacing w:val="5"/>
                <w:kern w:val="0"/>
                <w:szCs w:val="20"/>
                <w:lang w:eastAsia="en-US"/>
                <w14:textFill>
                  <w14:solidFill>
                    <w14:schemeClr w14:val="tx1"/>
                  </w14:solidFill>
                </w14:textFill>
              </w:rPr>
              <w:t>范围内人口数</w:t>
            </w:r>
            <w:r>
              <w:rPr>
                <w:rFonts w:hint="eastAsia" w:eastAsia="宋体"/>
                <w:snapToGrid w:val="0"/>
                <w:color w:val="000000" w:themeColor="text1"/>
                <w:spacing w:val="5"/>
                <w:kern w:val="0"/>
                <w:szCs w:val="20"/>
                <w:lang w:eastAsia="zh-CN"/>
                <w14:textFill>
                  <w14:solidFill>
                    <w14:schemeClr w14:val="tx1"/>
                  </w14:solidFill>
                </w14:textFill>
              </w:rPr>
              <w:t>246850</w:t>
            </w:r>
            <w:r>
              <w:rPr>
                <w:rFonts w:eastAsia="宋体"/>
                <w:snapToGrid w:val="0"/>
                <w:color w:val="000000" w:themeColor="text1"/>
                <w:spacing w:val="5"/>
                <w:kern w:val="0"/>
                <w:szCs w:val="20"/>
                <w:lang w:eastAsia="en-US"/>
                <w14:textFill>
                  <w14:solidFill>
                    <w14:schemeClr w14:val="tx1"/>
                  </w14:solidFill>
                </w14:textFill>
              </w:rPr>
              <w:t>人</w:t>
            </w:r>
          </w:p>
        </w:tc>
      </w:tr>
      <w:tr w14:paraId="1B705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12" w:type="dxa"/>
            <w:vMerge w:val="continue"/>
            <w:tcBorders>
              <w:tl2br w:val="nil"/>
              <w:tr2bl w:val="nil"/>
            </w:tcBorders>
            <w:textDirection w:val="tbRlV"/>
          </w:tcPr>
          <w:p w14:paraId="3012B65B">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vMerge w:val="continue"/>
            <w:tcBorders>
              <w:tl2br w:val="nil"/>
              <w:tr2bl w:val="nil"/>
            </w:tcBorders>
          </w:tcPr>
          <w:p w14:paraId="62D156C6">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vMerge w:val="continue"/>
            <w:tcBorders>
              <w:tl2br w:val="nil"/>
              <w:tr2bl w:val="nil"/>
            </w:tcBorders>
          </w:tcPr>
          <w:p w14:paraId="0447BDC7">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4549" w:type="dxa"/>
            <w:gridSpan w:val="6"/>
            <w:tcBorders>
              <w:tl2br w:val="nil"/>
              <w:tr2bl w:val="nil"/>
            </w:tcBorders>
          </w:tcPr>
          <w:p w14:paraId="39C52F67">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14:textFill>
                  <w14:solidFill>
                    <w14:schemeClr w14:val="tx1"/>
                  </w14:solidFill>
                </w14:textFill>
              </w:rPr>
              <w:t>每公里管段周边200m范围内人口数（最大）</w:t>
            </w:r>
          </w:p>
        </w:tc>
        <w:tc>
          <w:tcPr>
            <w:tcW w:w="1425" w:type="dxa"/>
            <w:tcBorders>
              <w:tl2br w:val="nil"/>
              <w:tr2bl w:val="nil"/>
            </w:tcBorders>
          </w:tcPr>
          <w:p w14:paraId="48B5B5B5">
            <w:pPr>
              <w:tabs>
                <w:tab w:val="left" w:pos="565"/>
              </w:tabs>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u w:val="single"/>
                <w14:textFill>
                  <w14:solidFill>
                    <w14:schemeClr w14:val="tx1"/>
                  </w14:solidFill>
                </w14:textFill>
              </w:rPr>
              <w:tab/>
            </w:r>
            <w:r>
              <w:rPr>
                <w:rFonts w:eastAsia="宋体"/>
                <w:snapToGrid w:val="0"/>
                <w:color w:val="000000" w:themeColor="text1"/>
                <w:spacing w:val="1"/>
                <w:kern w:val="0"/>
                <w:szCs w:val="20"/>
                <w:u w:val="single"/>
                <w:lang w:eastAsia="en-US"/>
                <w14:textFill>
                  <w14:solidFill>
                    <w14:schemeClr w14:val="tx1"/>
                  </w14:solidFill>
                </w14:textFill>
              </w:rPr>
              <w:t>/</w:t>
            </w:r>
            <w:r>
              <w:rPr>
                <w:rFonts w:eastAsia="宋体"/>
                <w:snapToGrid w:val="0"/>
                <w:color w:val="000000" w:themeColor="text1"/>
                <w:spacing w:val="1"/>
                <w:kern w:val="0"/>
                <w:szCs w:val="20"/>
                <w:lang w:eastAsia="en-US"/>
                <w14:textFill>
                  <w14:solidFill>
                    <w14:schemeClr w14:val="tx1"/>
                  </w14:solidFill>
                </w14:textFill>
              </w:rPr>
              <w:t>人</w:t>
            </w:r>
          </w:p>
        </w:tc>
      </w:tr>
      <w:tr w14:paraId="6C09A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12" w:type="dxa"/>
            <w:vMerge w:val="continue"/>
            <w:tcBorders>
              <w:tl2br w:val="nil"/>
              <w:tr2bl w:val="nil"/>
            </w:tcBorders>
            <w:textDirection w:val="tbRlV"/>
          </w:tcPr>
          <w:p w14:paraId="7EF3C575">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vMerge w:val="continue"/>
            <w:tcBorders>
              <w:tl2br w:val="nil"/>
              <w:tr2bl w:val="nil"/>
            </w:tcBorders>
          </w:tcPr>
          <w:p w14:paraId="6A953339">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vMerge w:val="restart"/>
            <w:tcBorders>
              <w:tl2br w:val="nil"/>
              <w:tr2bl w:val="nil"/>
            </w:tcBorders>
          </w:tcPr>
          <w:p w14:paraId="14934CB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地表水</w:t>
            </w:r>
          </w:p>
        </w:tc>
        <w:tc>
          <w:tcPr>
            <w:tcW w:w="2154" w:type="dxa"/>
            <w:gridSpan w:val="3"/>
            <w:tcBorders>
              <w:tl2br w:val="nil"/>
              <w:tr2bl w:val="nil"/>
            </w:tcBorders>
          </w:tcPr>
          <w:p w14:paraId="6672FE6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地表水功能敏感性</w:t>
            </w:r>
          </w:p>
        </w:tc>
        <w:tc>
          <w:tcPr>
            <w:tcW w:w="1014" w:type="dxa"/>
            <w:tcBorders>
              <w:tl2br w:val="nil"/>
              <w:tr2bl w:val="nil"/>
            </w:tcBorders>
          </w:tcPr>
          <w:p w14:paraId="4641BF8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F1□</w:t>
            </w:r>
          </w:p>
        </w:tc>
        <w:tc>
          <w:tcPr>
            <w:tcW w:w="1380" w:type="dxa"/>
            <w:gridSpan w:val="2"/>
            <w:tcBorders>
              <w:tl2br w:val="nil"/>
              <w:tr2bl w:val="nil"/>
            </w:tcBorders>
          </w:tcPr>
          <w:p w14:paraId="37908708">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F2</w:t>
            </w:r>
            <w:r>
              <w:rPr>
                <w:rFonts w:eastAsia="宋体"/>
                <w:snapToGrid w:val="0"/>
                <w:color w:val="000000" w:themeColor="text1"/>
                <w:spacing w:val="5"/>
                <w:kern w:val="0"/>
                <w:szCs w:val="20"/>
                <w14:textFill>
                  <w14:solidFill>
                    <w14:schemeClr w14:val="tx1"/>
                  </w14:solidFill>
                </w14:textFill>
              </w:rPr>
              <w:t>□</w:t>
            </w:r>
          </w:p>
        </w:tc>
        <w:tc>
          <w:tcPr>
            <w:tcW w:w="1425" w:type="dxa"/>
            <w:tcBorders>
              <w:tl2br w:val="nil"/>
              <w:tr2bl w:val="nil"/>
            </w:tcBorders>
          </w:tcPr>
          <w:p w14:paraId="29CF94ED">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F3□</w:t>
            </w:r>
          </w:p>
        </w:tc>
      </w:tr>
      <w:tr w14:paraId="241AC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12" w:type="dxa"/>
            <w:vMerge w:val="continue"/>
            <w:tcBorders>
              <w:tl2br w:val="nil"/>
              <w:tr2bl w:val="nil"/>
            </w:tcBorders>
            <w:textDirection w:val="tbRlV"/>
          </w:tcPr>
          <w:p w14:paraId="3C4F1E7A">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vMerge w:val="continue"/>
            <w:tcBorders>
              <w:tl2br w:val="nil"/>
              <w:tr2bl w:val="nil"/>
            </w:tcBorders>
          </w:tcPr>
          <w:p w14:paraId="30D9D110">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vMerge w:val="continue"/>
            <w:tcBorders>
              <w:tl2br w:val="nil"/>
              <w:tr2bl w:val="nil"/>
            </w:tcBorders>
          </w:tcPr>
          <w:p w14:paraId="5EA191EC">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2154" w:type="dxa"/>
            <w:gridSpan w:val="3"/>
            <w:tcBorders>
              <w:tl2br w:val="nil"/>
              <w:tr2bl w:val="nil"/>
            </w:tcBorders>
          </w:tcPr>
          <w:p w14:paraId="70B8216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环境敏感目标分级</w:t>
            </w:r>
          </w:p>
        </w:tc>
        <w:tc>
          <w:tcPr>
            <w:tcW w:w="1014" w:type="dxa"/>
            <w:tcBorders>
              <w:tl2br w:val="nil"/>
              <w:tr2bl w:val="nil"/>
            </w:tcBorders>
          </w:tcPr>
          <w:p w14:paraId="589310B9">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S1</w:t>
            </w:r>
            <w:r>
              <w:rPr>
                <w:rFonts w:hint="eastAsia" w:eastAsia="宋体"/>
                <w:snapToGrid w:val="0"/>
                <w:color w:val="000000" w:themeColor="text1"/>
                <w:kern w:val="0"/>
                <w:szCs w:val="20"/>
                <w:lang w:eastAsia="zh-CN"/>
                <w14:textFill>
                  <w14:solidFill>
                    <w14:schemeClr w14:val="tx1"/>
                  </w14:solidFill>
                </w14:textFill>
              </w:rPr>
              <w:t>□</w:t>
            </w:r>
          </w:p>
        </w:tc>
        <w:tc>
          <w:tcPr>
            <w:tcW w:w="1380" w:type="dxa"/>
            <w:gridSpan w:val="2"/>
            <w:tcBorders>
              <w:tl2br w:val="nil"/>
              <w:tr2bl w:val="nil"/>
            </w:tcBorders>
          </w:tcPr>
          <w:p w14:paraId="0F06763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S2□</w:t>
            </w:r>
          </w:p>
        </w:tc>
        <w:tc>
          <w:tcPr>
            <w:tcW w:w="1425" w:type="dxa"/>
            <w:tcBorders>
              <w:tl2br w:val="nil"/>
              <w:tr2bl w:val="nil"/>
            </w:tcBorders>
          </w:tcPr>
          <w:p w14:paraId="54F271E1">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S3</w:t>
            </w:r>
            <w:r>
              <w:rPr>
                <w:rFonts w:eastAsia="宋体"/>
                <w:snapToGrid w:val="0"/>
                <w:color w:val="000000" w:themeColor="text1"/>
                <w:kern w:val="0"/>
                <w:szCs w:val="20"/>
                <w14:textFill>
                  <w14:solidFill>
                    <w14:schemeClr w14:val="tx1"/>
                  </w14:solidFill>
                </w14:textFill>
              </w:rPr>
              <w:t>□</w:t>
            </w:r>
          </w:p>
        </w:tc>
      </w:tr>
      <w:tr w14:paraId="4BD95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12" w:type="dxa"/>
            <w:vMerge w:val="continue"/>
            <w:tcBorders>
              <w:tl2br w:val="nil"/>
              <w:tr2bl w:val="nil"/>
            </w:tcBorders>
            <w:textDirection w:val="tbRlV"/>
          </w:tcPr>
          <w:p w14:paraId="75B74359">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vMerge w:val="continue"/>
            <w:tcBorders>
              <w:tl2br w:val="nil"/>
              <w:tr2bl w:val="nil"/>
            </w:tcBorders>
          </w:tcPr>
          <w:p w14:paraId="01AF81F6">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vMerge w:val="restart"/>
            <w:tcBorders>
              <w:tl2br w:val="nil"/>
              <w:tr2bl w:val="nil"/>
            </w:tcBorders>
          </w:tcPr>
          <w:p w14:paraId="678514E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地下水</w:t>
            </w:r>
          </w:p>
        </w:tc>
        <w:tc>
          <w:tcPr>
            <w:tcW w:w="2154" w:type="dxa"/>
            <w:gridSpan w:val="3"/>
            <w:tcBorders>
              <w:tl2br w:val="nil"/>
              <w:tr2bl w:val="nil"/>
            </w:tcBorders>
          </w:tcPr>
          <w:p w14:paraId="04F60BE2">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地下水功能敏感性</w:t>
            </w:r>
          </w:p>
        </w:tc>
        <w:tc>
          <w:tcPr>
            <w:tcW w:w="1014" w:type="dxa"/>
            <w:tcBorders>
              <w:tl2br w:val="nil"/>
              <w:tr2bl w:val="nil"/>
            </w:tcBorders>
          </w:tcPr>
          <w:p w14:paraId="1A09C453">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G1□</w:t>
            </w:r>
          </w:p>
        </w:tc>
        <w:tc>
          <w:tcPr>
            <w:tcW w:w="1380" w:type="dxa"/>
            <w:gridSpan w:val="2"/>
            <w:tcBorders>
              <w:tl2br w:val="nil"/>
              <w:tr2bl w:val="nil"/>
            </w:tcBorders>
          </w:tcPr>
          <w:p w14:paraId="37063BDA">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G2□</w:t>
            </w:r>
          </w:p>
        </w:tc>
        <w:tc>
          <w:tcPr>
            <w:tcW w:w="1425" w:type="dxa"/>
            <w:tcBorders>
              <w:tl2br w:val="nil"/>
              <w:tr2bl w:val="nil"/>
            </w:tcBorders>
          </w:tcPr>
          <w:p w14:paraId="47D082A2">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G3☑</w:t>
            </w:r>
          </w:p>
        </w:tc>
      </w:tr>
      <w:tr w14:paraId="2B533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12" w:type="dxa"/>
            <w:vMerge w:val="continue"/>
            <w:tcBorders>
              <w:tl2br w:val="nil"/>
              <w:tr2bl w:val="nil"/>
            </w:tcBorders>
            <w:textDirection w:val="tbRlV"/>
          </w:tcPr>
          <w:p w14:paraId="426A2279">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vMerge w:val="continue"/>
            <w:tcBorders>
              <w:tl2br w:val="nil"/>
              <w:tr2bl w:val="nil"/>
            </w:tcBorders>
          </w:tcPr>
          <w:p w14:paraId="283C6F63">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vMerge w:val="continue"/>
            <w:tcBorders>
              <w:tl2br w:val="nil"/>
              <w:tr2bl w:val="nil"/>
            </w:tcBorders>
          </w:tcPr>
          <w:p w14:paraId="2D7A5611">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2154" w:type="dxa"/>
            <w:gridSpan w:val="3"/>
            <w:tcBorders>
              <w:tl2br w:val="nil"/>
              <w:tr2bl w:val="nil"/>
            </w:tcBorders>
          </w:tcPr>
          <w:p w14:paraId="7760AAE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包气带防污性能</w:t>
            </w:r>
          </w:p>
        </w:tc>
        <w:tc>
          <w:tcPr>
            <w:tcW w:w="1014" w:type="dxa"/>
            <w:tcBorders>
              <w:tl2br w:val="nil"/>
              <w:tr2bl w:val="nil"/>
            </w:tcBorders>
          </w:tcPr>
          <w:p w14:paraId="6071E43D">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D1□</w:t>
            </w:r>
          </w:p>
        </w:tc>
        <w:tc>
          <w:tcPr>
            <w:tcW w:w="1380" w:type="dxa"/>
            <w:gridSpan w:val="2"/>
            <w:tcBorders>
              <w:tl2br w:val="nil"/>
              <w:tr2bl w:val="nil"/>
            </w:tcBorders>
          </w:tcPr>
          <w:p w14:paraId="7F6EFB2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D2☑</w:t>
            </w:r>
          </w:p>
        </w:tc>
        <w:tc>
          <w:tcPr>
            <w:tcW w:w="1425" w:type="dxa"/>
            <w:tcBorders>
              <w:tl2br w:val="nil"/>
              <w:tr2bl w:val="nil"/>
            </w:tcBorders>
          </w:tcPr>
          <w:p w14:paraId="407D63E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D3□</w:t>
            </w:r>
          </w:p>
        </w:tc>
      </w:tr>
      <w:tr w14:paraId="168DC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972" w:type="dxa"/>
            <w:gridSpan w:val="2"/>
            <w:vMerge w:val="restart"/>
            <w:tcBorders>
              <w:tl2br w:val="nil"/>
              <w:tr2bl w:val="nil"/>
            </w:tcBorders>
          </w:tcPr>
          <w:p w14:paraId="240568BC">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物质及工艺系统危</w:t>
            </w:r>
            <w:r>
              <w:rPr>
                <w:rFonts w:eastAsia="宋体"/>
                <w:snapToGrid w:val="0"/>
                <w:color w:val="000000" w:themeColor="text1"/>
                <w:spacing w:val="-1"/>
                <w:kern w:val="0"/>
                <w:szCs w:val="20"/>
                <w14:textFill>
                  <w14:solidFill>
                    <w14:schemeClr w14:val="tx1"/>
                  </w14:solidFill>
                </w14:textFill>
              </w:rPr>
              <w:t>险性</w:t>
            </w:r>
          </w:p>
        </w:tc>
        <w:tc>
          <w:tcPr>
            <w:tcW w:w="1206" w:type="dxa"/>
            <w:tcBorders>
              <w:tl2br w:val="nil"/>
              <w:tr2bl w:val="nil"/>
            </w:tcBorders>
          </w:tcPr>
          <w:p w14:paraId="733D9E4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Q值</w:t>
            </w:r>
          </w:p>
        </w:tc>
        <w:tc>
          <w:tcPr>
            <w:tcW w:w="2154" w:type="dxa"/>
            <w:gridSpan w:val="3"/>
            <w:tcBorders>
              <w:tl2br w:val="nil"/>
              <w:tr2bl w:val="nil"/>
            </w:tcBorders>
          </w:tcPr>
          <w:p w14:paraId="5B58B24A">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Q&lt;1</w:t>
            </w:r>
            <w:r>
              <w:rPr>
                <w:rFonts w:eastAsia="宋体"/>
                <w:snapToGrid w:val="0"/>
                <w:color w:val="000000" w:themeColor="text1"/>
                <w:spacing w:val="4"/>
                <w:kern w:val="0"/>
                <w:szCs w:val="20"/>
                <w14:textFill>
                  <w14:solidFill>
                    <w14:schemeClr w14:val="tx1"/>
                  </w14:solidFill>
                </w14:textFill>
              </w:rPr>
              <w:t>□</w:t>
            </w:r>
          </w:p>
        </w:tc>
        <w:tc>
          <w:tcPr>
            <w:tcW w:w="1014" w:type="dxa"/>
            <w:tcBorders>
              <w:tl2br w:val="nil"/>
              <w:tr2bl w:val="nil"/>
            </w:tcBorders>
          </w:tcPr>
          <w:p w14:paraId="5356DF51">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1≤Q&lt;10</w:t>
            </w:r>
            <w:r>
              <w:rPr>
                <w:rFonts w:eastAsia="宋体"/>
                <w:snapToGrid w:val="0"/>
                <w:color w:val="000000" w:themeColor="text1"/>
                <w:kern w:val="0"/>
                <w:szCs w:val="20"/>
                <w14:textFill>
                  <w14:solidFill>
                    <w14:schemeClr w14:val="tx1"/>
                  </w14:solidFill>
                </w14:textFill>
              </w:rPr>
              <w:t>☑</w:t>
            </w:r>
          </w:p>
        </w:tc>
        <w:tc>
          <w:tcPr>
            <w:tcW w:w="1380" w:type="dxa"/>
            <w:gridSpan w:val="2"/>
            <w:tcBorders>
              <w:tl2br w:val="nil"/>
              <w:tr2bl w:val="nil"/>
            </w:tcBorders>
          </w:tcPr>
          <w:p w14:paraId="1616F92E">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10≤Q&lt;100</w:t>
            </w:r>
            <w:r>
              <w:rPr>
                <w:rFonts w:eastAsia="宋体"/>
                <w:snapToGrid w:val="0"/>
                <w:color w:val="000000" w:themeColor="text1"/>
                <w:spacing w:val="2"/>
                <w:kern w:val="0"/>
                <w:szCs w:val="20"/>
                <w14:textFill>
                  <w14:solidFill>
                    <w14:schemeClr w14:val="tx1"/>
                  </w14:solidFill>
                </w14:textFill>
              </w:rPr>
              <w:t>□</w:t>
            </w:r>
          </w:p>
        </w:tc>
        <w:tc>
          <w:tcPr>
            <w:tcW w:w="1425" w:type="dxa"/>
            <w:tcBorders>
              <w:tl2br w:val="nil"/>
              <w:tr2bl w:val="nil"/>
            </w:tcBorders>
          </w:tcPr>
          <w:p w14:paraId="26A6EEDF">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Q&gt;100</w:t>
            </w:r>
            <w:r>
              <w:rPr>
                <w:rFonts w:eastAsia="宋体"/>
                <w:snapToGrid w:val="0"/>
                <w:color w:val="000000" w:themeColor="text1"/>
                <w:spacing w:val="4"/>
                <w:kern w:val="0"/>
                <w:szCs w:val="20"/>
                <w14:textFill>
                  <w14:solidFill>
                    <w14:schemeClr w14:val="tx1"/>
                  </w14:solidFill>
                </w14:textFill>
              </w:rPr>
              <w:t>□</w:t>
            </w:r>
          </w:p>
        </w:tc>
      </w:tr>
      <w:tr w14:paraId="60E6B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72" w:type="dxa"/>
            <w:gridSpan w:val="2"/>
            <w:vMerge w:val="continue"/>
            <w:tcBorders>
              <w:tl2br w:val="nil"/>
              <w:tr2bl w:val="nil"/>
            </w:tcBorders>
          </w:tcPr>
          <w:p w14:paraId="53A5AE00">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tcBorders>
              <w:tl2br w:val="nil"/>
              <w:tr2bl w:val="nil"/>
            </w:tcBorders>
          </w:tcPr>
          <w:p w14:paraId="2F48E26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2"/>
                <w:kern w:val="0"/>
                <w:szCs w:val="20"/>
                <w:lang w:eastAsia="en-US"/>
                <w14:textFill>
                  <w14:solidFill>
                    <w14:schemeClr w14:val="tx1"/>
                  </w14:solidFill>
                </w14:textFill>
              </w:rPr>
              <w:t>M值</w:t>
            </w:r>
          </w:p>
        </w:tc>
        <w:tc>
          <w:tcPr>
            <w:tcW w:w="2154" w:type="dxa"/>
            <w:gridSpan w:val="3"/>
            <w:tcBorders>
              <w:tl2br w:val="nil"/>
              <w:tr2bl w:val="nil"/>
            </w:tcBorders>
          </w:tcPr>
          <w:p w14:paraId="6D6D29E9">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M1</w:t>
            </w:r>
            <w:r>
              <w:rPr>
                <w:rFonts w:eastAsia="宋体"/>
                <w:snapToGrid w:val="0"/>
                <w:color w:val="000000" w:themeColor="text1"/>
                <w:spacing w:val="4"/>
                <w:kern w:val="0"/>
                <w:szCs w:val="20"/>
                <w14:textFill>
                  <w14:solidFill>
                    <w14:schemeClr w14:val="tx1"/>
                  </w14:solidFill>
                </w14:textFill>
              </w:rPr>
              <w:t>□</w:t>
            </w:r>
          </w:p>
        </w:tc>
        <w:tc>
          <w:tcPr>
            <w:tcW w:w="1014" w:type="dxa"/>
            <w:tcBorders>
              <w:tl2br w:val="nil"/>
              <w:tr2bl w:val="nil"/>
            </w:tcBorders>
          </w:tcPr>
          <w:p w14:paraId="004047AB">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M</w:t>
            </w:r>
            <w:r>
              <w:rPr>
                <w:rFonts w:eastAsia="宋体"/>
                <w:snapToGrid w:val="0"/>
                <w:color w:val="000000" w:themeColor="text1"/>
                <w:spacing w:val="5"/>
                <w:kern w:val="0"/>
                <w:szCs w:val="20"/>
                <w14:textFill>
                  <w14:solidFill>
                    <w14:schemeClr w14:val="tx1"/>
                  </w14:solidFill>
                </w14:textFill>
              </w:rPr>
              <w:t>□</w:t>
            </w:r>
          </w:p>
        </w:tc>
        <w:tc>
          <w:tcPr>
            <w:tcW w:w="1380" w:type="dxa"/>
            <w:gridSpan w:val="2"/>
            <w:tcBorders>
              <w:tl2br w:val="nil"/>
              <w:tr2bl w:val="nil"/>
            </w:tcBorders>
          </w:tcPr>
          <w:p w14:paraId="74B9AFD0">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M3</w:t>
            </w:r>
            <w:r>
              <w:rPr>
                <w:rFonts w:eastAsia="宋体"/>
                <w:snapToGrid w:val="0"/>
                <w:color w:val="000000" w:themeColor="text1"/>
                <w:spacing w:val="4"/>
                <w:kern w:val="0"/>
                <w:szCs w:val="20"/>
                <w14:textFill>
                  <w14:solidFill>
                    <w14:schemeClr w14:val="tx1"/>
                  </w14:solidFill>
                </w14:textFill>
              </w:rPr>
              <w:t xml:space="preserve">       □</w:t>
            </w:r>
          </w:p>
        </w:tc>
        <w:tc>
          <w:tcPr>
            <w:tcW w:w="1425" w:type="dxa"/>
            <w:tcBorders>
              <w:tl2br w:val="nil"/>
              <w:tr2bl w:val="nil"/>
            </w:tcBorders>
          </w:tcPr>
          <w:p w14:paraId="0AFCB04D">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M4☑</w:t>
            </w:r>
          </w:p>
        </w:tc>
      </w:tr>
      <w:tr w14:paraId="5A736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972" w:type="dxa"/>
            <w:gridSpan w:val="2"/>
            <w:vMerge w:val="continue"/>
            <w:tcBorders>
              <w:tl2br w:val="nil"/>
              <w:tr2bl w:val="nil"/>
            </w:tcBorders>
          </w:tcPr>
          <w:p w14:paraId="3FA3E4F0">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tcBorders>
              <w:tl2br w:val="nil"/>
              <w:tr2bl w:val="nil"/>
            </w:tcBorders>
          </w:tcPr>
          <w:p w14:paraId="755BE38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P值</w:t>
            </w:r>
          </w:p>
        </w:tc>
        <w:tc>
          <w:tcPr>
            <w:tcW w:w="2154" w:type="dxa"/>
            <w:gridSpan w:val="3"/>
            <w:tcBorders>
              <w:tl2br w:val="nil"/>
              <w:tr2bl w:val="nil"/>
            </w:tcBorders>
          </w:tcPr>
          <w:p w14:paraId="7D784AB7">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P1</w:t>
            </w:r>
            <w:r>
              <w:rPr>
                <w:rFonts w:eastAsia="宋体"/>
                <w:snapToGrid w:val="0"/>
                <w:color w:val="000000" w:themeColor="text1"/>
                <w:spacing w:val="3"/>
                <w:kern w:val="0"/>
                <w:szCs w:val="20"/>
                <w14:textFill>
                  <w14:solidFill>
                    <w14:schemeClr w14:val="tx1"/>
                  </w14:solidFill>
                </w14:textFill>
              </w:rPr>
              <w:t>□</w:t>
            </w:r>
          </w:p>
        </w:tc>
        <w:tc>
          <w:tcPr>
            <w:tcW w:w="1014" w:type="dxa"/>
            <w:tcBorders>
              <w:tl2br w:val="nil"/>
              <w:tr2bl w:val="nil"/>
            </w:tcBorders>
          </w:tcPr>
          <w:p w14:paraId="6CEEB89D">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P2</w:t>
            </w:r>
            <w:r>
              <w:rPr>
                <w:rFonts w:eastAsia="宋体"/>
                <w:snapToGrid w:val="0"/>
                <w:color w:val="000000" w:themeColor="text1"/>
                <w:spacing w:val="3"/>
                <w:kern w:val="0"/>
                <w:szCs w:val="20"/>
                <w14:textFill>
                  <w14:solidFill>
                    <w14:schemeClr w14:val="tx1"/>
                  </w14:solidFill>
                </w14:textFill>
              </w:rPr>
              <w:t>□</w:t>
            </w:r>
          </w:p>
        </w:tc>
        <w:tc>
          <w:tcPr>
            <w:tcW w:w="1380" w:type="dxa"/>
            <w:gridSpan w:val="2"/>
            <w:tcBorders>
              <w:tl2br w:val="nil"/>
              <w:tr2bl w:val="nil"/>
            </w:tcBorders>
          </w:tcPr>
          <w:p w14:paraId="49A6027D">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P3</w:t>
            </w:r>
            <w:r>
              <w:rPr>
                <w:rFonts w:eastAsia="宋体"/>
                <w:snapToGrid w:val="0"/>
                <w:color w:val="000000" w:themeColor="text1"/>
                <w:spacing w:val="4"/>
                <w:kern w:val="0"/>
                <w:szCs w:val="20"/>
                <w14:textFill>
                  <w14:solidFill>
                    <w14:schemeClr w14:val="tx1"/>
                  </w14:solidFill>
                </w14:textFill>
              </w:rPr>
              <w:t>□</w:t>
            </w:r>
          </w:p>
        </w:tc>
        <w:tc>
          <w:tcPr>
            <w:tcW w:w="1425" w:type="dxa"/>
            <w:tcBorders>
              <w:tl2br w:val="nil"/>
              <w:tr2bl w:val="nil"/>
            </w:tcBorders>
          </w:tcPr>
          <w:p w14:paraId="1DA7C5C1">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P4</w:t>
            </w:r>
            <w:r>
              <w:rPr>
                <w:rFonts w:eastAsia="宋体"/>
                <w:snapToGrid w:val="0"/>
                <w:color w:val="000000" w:themeColor="text1"/>
                <w:spacing w:val="3"/>
                <w:kern w:val="0"/>
                <w:szCs w:val="20"/>
                <w14:textFill>
                  <w14:solidFill>
                    <w14:schemeClr w14:val="tx1"/>
                  </w14:solidFill>
                </w14:textFill>
              </w:rPr>
              <w:t>☑</w:t>
            </w:r>
          </w:p>
        </w:tc>
      </w:tr>
      <w:tr w14:paraId="54A75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972" w:type="dxa"/>
            <w:gridSpan w:val="2"/>
            <w:vMerge w:val="restart"/>
            <w:tcBorders>
              <w:tl2br w:val="nil"/>
              <w:tr2bl w:val="nil"/>
            </w:tcBorders>
          </w:tcPr>
          <w:p w14:paraId="503BBFB1">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p w14:paraId="48DAF3C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环境敏感程度</w:t>
            </w:r>
          </w:p>
        </w:tc>
        <w:tc>
          <w:tcPr>
            <w:tcW w:w="1206" w:type="dxa"/>
            <w:tcBorders>
              <w:tl2br w:val="nil"/>
              <w:tr2bl w:val="nil"/>
            </w:tcBorders>
          </w:tcPr>
          <w:p w14:paraId="78D03CA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大气</w:t>
            </w:r>
          </w:p>
        </w:tc>
        <w:tc>
          <w:tcPr>
            <w:tcW w:w="2154" w:type="dxa"/>
            <w:gridSpan w:val="3"/>
            <w:tcBorders>
              <w:tl2br w:val="nil"/>
              <w:tr2bl w:val="nil"/>
            </w:tcBorders>
          </w:tcPr>
          <w:p w14:paraId="497638FB">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E1☑</w:t>
            </w:r>
          </w:p>
        </w:tc>
        <w:tc>
          <w:tcPr>
            <w:tcW w:w="1666" w:type="dxa"/>
            <w:gridSpan w:val="2"/>
            <w:tcBorders>
              <w:tl2br w:val="nil"/>
              <w:tr2bl w:val="nil"/>
            </w:tcBorders>
          </w:tcPr>
          <w:p w14:paraId="02709A66">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E2□</w:t>
            </w:r>
          </w:p>
        </w:tc>
        <w:tc>
          <w:tcPr>
            <w:tcW w:w="2154" w:type="dxa"/>
            <w:gridSpan w:val="2"/>
            <w:tcBorders>
              <w:tl2br w:val="nil"/>
              <w:tr2bl w:val="nil"/>
            </w:tcBorders>
          </w:tcPr>
          <w:p w14:paraId="0748C7A6">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E3□</w:t>
            </w:r>
          </w:p>
        </w:tc>
      </w:tr>
      <w:tr w14:paraId="02147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72" w:type="dxa"/>
            <w:gridSpan w:val="2"/>
            <w:vMerge w:val="continue"/>
            <w:tcBorders>
              <w:tl2br w:val="nil"/>
              <w:tr2bl w:val="nil"/>
            </w:tcBorders>
          </w:tcPr>
          <w:p w14:paraId="10BCBB83">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tcBorders>
              <w:tl2br w:val="nil"/>
              <w:tr2bl w:val="nil"/>
            </w:tcBorders>
          </w:tcPr>
          <w:p w14:paraId="7C8C99F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地表水</w:t>
            </w:r>
          </w:p>
        </w:tc>
        <w:tc>
          <w:tcPr>
            <w:tcW w:w="2154" w:type="dxa"/>
            <w:gridSpan w:val="3"/>
            <w:tcBorders>
              <w:tl2br w:val="nil"/>
              <w:tr2bl w:val="nil"/>
            </w:tcBorders>
          </w:tcPr>
          <w:p w14:paraId="27B057AE">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E1□</w:t>
            </w:r>
          </w:p>
        </w:tc>
        <w:tc>
          <w:tcPr>
            <w:tcW w:w="1666" w:type="dxa"/>
            <w:gridSpan w:val="2"/>
            <w:tcBorders>
              <w:tl2br w:val="nil"/>
              <w:tr2bl w:val="nil"/>
            </w:tcBorders>
          </w:tcPr>
          <w:p w14:paraId="7C64C840">
            <w:pPr>
              <w:widowControl/>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E2</w:t>
            </w:r>
            <w:r>
              <w:rPr>
                <w:rFonts w:eastAsia="宋体"/>
                <w:snapToGrid w:val="0"/>
                <w:color w:val="000000" w:themeColor="text1"/>
                <w:spacing w:val="4"/>
                <w:kern w:val="0"/>
                <w:szCs w:val="20"/>
                <w14:textFill>
                  <w14:solidFill>
                    <w14:schemeClr w14:val="tx1"/>
                  </w14:solidFill>
                </w14:textFill>
              </w:rPr>
              <w:t>□</w:t>
            </w:r>
          </w:p>
        </w:tc>
        <w:tc>
          <w:tcPr>
            <w:tcW w:w="2154" w:type="dxa"/>
            <w:gridSpan w:val="2"/>
            <w:tcBorders>
              <w:tl2br w:val="nil"/>
              <w:tr2bl w:val="nil"/>
            </w:tcBorders>
          </w:tcPr>
          <w:p w14:paraId="39ACA031">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E3□</w:t>
            </w:r>
          </w:p>
        </w:tc>
      </w:tr>
      <w:tr w14:paraId="78D87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972" w:type="dxa"/>
            <w:gridSpan w:val="2"/>
            <w:vMerge w:val="continue"/>
            <w:tcBorders>
              <w:tl2br w:val="nil"/>
              <w:tr2bl w:val="nil"/>
            </w:tcBorders>
          </w:tcPr>
          <w:p w14:paraId="01FF5F1D">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tcBorders>
              <w:tl2br w:val="nil"/>
              <w:tr2bl w:val="nil"/>
            </w:tcBorders>
          </w:tcPr>
          <w:p w14:paraId="7986C7E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地下水</w:t>
            </w:r>
          </w:p>
        </w:tc>
        <w:tc>
          <w:tcPr>
            <w:tcW w:w="2154" w:type="dxa"/>
            <w:gridSpan w:val="3"/>
            <w:tcBorders>
              <w:tl2br w:val="nil"/>
              <w:tr2bl w:val="nil"/>
            </w:tcBorders>
          </w:tcPr>
          <w:p w14:paraId="609B37A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E1□</w:t>
            </w:r>
          </w:p>
        </w:tc>
        <w:tc>
          <w:tcPr>
            <w:tcW w:w="1666" w:type="dxa"/>
            <w:gridSpan w:val="2"/>
            <w:tcBorders>
              <w:tl2br w:val="nil"/>
              <w:tr2bl w:val="nil"/>
            </w:tcBorders>
          </w:tcPr>
          <w:p w14:paraId="3AF6E7CF">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E2□</w:t>
            </w:r>
          </w:p>
        </w:tc>
        <w:tc>
          <w:tcPr>
            <w:tcW w:w="2154" w:type="dxa"/>
            <w:gridSpan w:val="2"/>
            <w:tcBorders>
              <w:tl2br w:val="nil"/>
              <w:tr2bl w:val="nil"/>
            </w:tcBorders>
          </w:tcPr>
          <w:p w14:paraId="09E98B3F">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E3☑</w:t>
            </w:r>
          </w:p>
        </w:tc>
      </w:tr>
      <w:tr w14:paraId="65830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972" w:type="dxa"/>
            <w:gridSpan w:val="2"/>
            <w:tcBorders>
              <w:tl2br w:val="nil"/>
              <w:tr2bl w:val="nil"/>
            </w:tcBorders>
          </w:tcPr>
          <w:p w14:paraId="7EE9D0F1">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环境风险潜势</w:t>
            </w:r>
          </w:p>
        </w:tc>
        <w:tc>
          <w:tcPr>
            <w:tcW w:w="1206" w:type="dxa"/>
            <w:tcBorders>
              <w:tl2br w:val="nil"/>
              <w:tr2bl w:val="nil"/>
            </w:tcBorders>
          </w:tcPr>
          <w:p w14:paraId="1211FE3C">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position w:val="-1"/>
                <w:szCs w:val="20"/>
                <w:lang w:eastAsia="en-US"/>
                <w14:textFill>
                  <w14:solidFill>
                    <w14:schemeClr w14:val="tx1"/>
                  </w14:solidFill>
                </w14:textFill>
              </w:rPr>
              <w:t>Ⅳ</w:t>
            </w:r>
            <w:r>
              <w:rPr>
                <w:rFonts w:eastAsia="宋体"/>
                <w:snapToGrid w:val="0"/>
                <w:color w:val="000000" w:themeColor="text1"/>
                <w:spacing w:val="4"/>
                <w:kern w:val="0"/>
                <w:position w:val="5"/>
                <w:szCs w:val="13"/>
                <w:lang w:eastAsia="en-US"/>
                <w14:textFill>
                  <w14:solidFill>
                    <w14:schemeClr w14:val="tx1"/>
                  </w14:solidFill>
                </w14:textFill>
              </w:rPr>
              <w:t>+</w:t>
            </w:r>
            <w:r>
              <w:rPr>
                <w:rFonts w:eastAsia="宋体"/>
                <w:snapToGrid w:val="0"/>
                <w:color w:val="000000" w:themeColor="text1"/>
                <w:spacing w:val="4"/>
                <w:kern w:val="0"/>
                <w:position w:val="-1"/>
                <w:szCs w:val="20"/>
                <w:lang w:eastAsia="en-US"/>
                <w14:textFill>
                  <w14:solidFill>
                    <w14:schemeClr w14:val="tx1"/>
                  </w14:solidFill>
                </w14:textFill>
              </w:rPr>
              <w:t>□</w:t>
            </w:r>
          </w:p>
        </w:tc>
        <w:tc>
          <w:tcPr>
            <w:tcW w:w="2154" w:type="dxa"/>
            <w:gridSpan w:val="3"/>
            <w:tcBorders>
              <w:tl2br w:val="nil"/>
              <w:tr2bl w:val="nil"/>
            </w:tcBorders>
          </w:tcPr>
          <w:p w14:paraId="0954E1A2">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Ⅳ□</w:t>
            </w:r>
          </w:p>
        </w:tc>
        <w:tc>
          <w:tcPr>
            <w:tcW w:w="1014" w:type="dxa"/>
            <w:tcBorders>
              <w:tl2br w:val="nil"/>
              <w:tr2bl w:val="nil"/>
            </w:tcBorders>
          </w:tcPr>
          <w:p w14:paraId="7C89B564">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Ⅲ☑</w:t>
            </w:r>
          </w:p>
        </w:tc>
        <w:tc>
          <w:tcPr>
            <w:tcW w:w="1380" w:type="dxa"/>
            <w:gridSpan w:val="2"/>
            <w:tcBorders>
              <w:tl2br w:val="nil"/>
              <w:tr2bl w:val="nil"/>
            </w:tcBorders>
          </w:tcPr>
          <w:p w14:paraId="54705C8E">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Ⅱ□</w:t>
            </w:r>
          </w:p>
        </w:tc>
        <w:tc>
          <w:tcPr>
            <w:tcW w:w="1425" w:type="dxa"/>
            <w:tcBorders>
              <w:tl2br w:val="nil"/>
              <w:tr2bl w:val="nil"/>
            </w:tcBorders>
          </w:tcPr>
          <w:p w14:paraId="2885C539">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1"/>
                <w:kern w:val="0"/>
                <w:szCs w:val="20"/>
                <w:lang w:eastAsia="en-US"/>
                <w14:textFill>
                  <w14:solidFill>
                    <w14:schemeClr w14:val="tx1"/>
                  </w14:solidFill>
                </w14:textFill>
              </w:rPr>
              <w:t>Ⅰ□</w:t>
            </w:r>
          </w:p>
        </w:tc>
      </w:tr>
      <w:tr w14:paraId="0BD0C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72" w:type="dxa"/>
            <w:gridSpan w:val="2"/>
            <w:tcBorders>
              <w:tl2br w:val="nil"/>
              <w:tr2bl w:val="nil"/>
            </w:tcBorders>
          </w:tcPr>
          <w:p w14:paraId="5EDC719C">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评价等级</w:t>
            </w:r>
          </w:p>
        </w:tc>
        <w:tc>
          <w:tcPr>
            <w:tcW w:w="1711" w:type="dxa"/>
            <w:gridSpan w:val="2"/>
            <w:tcBorders>
              <w:tl2br w:val="nil"/>
              <w:tr2bl w:val="nil"/>
            </w:tcBorders>
          </w:tcPr>
          <w:p w14:paraId="5899F51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一级□</w:t>
            </w:r>
          </w:p>
        </w:tc>
        <w:tc>
          <w:tcPr>
            <w:tcW w:w="1649" w:type="dxa"/>
            <w:gridSpan w:val="2"/>
            <w:tcBorders>
              <w:tl2br w:val="nil"/>
              <w:tr2bl w:val="nil"/>
            </w:tcBorders>
          </w:tcPr>
          <w:p w14:paraId="1AFAEBE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二级☑</w:t>
            </w:r>
          </w:p>
        </w:tc>
        <w:tc>
          <w:tcPr>
            <w:tcW w:w="1666" w:type="dxa"/>
            <w:gridSpan w:val="2"/>
            <w:tcBorders>
              <w:tl2br w:val="nil"/>
              <w:tr2bl w:val="nil"/>
            </w:tcBorders>
          </w:tcPr>
          <w:p w14:paraId="415F5B1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三级□</w:t>
            </w:r>
          </w:p>
        </w:tc>
        <w:tc>
          <w:tcPr>
            <w:tcW w:w="2154" w:type="dxa"/>
            <w:gridSpan w:val="2"/>
            <w:tcBorders>
              <w:tl2br w:val="nil"/>
              <w:tr2bl w:val="nil"/>
            </w:tcBorders>
          </w:tcPr>
          <w:p w14:paraId="44A2F36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简单分析□</w:t>
            </w:r>
          </w:p>
        </w:tc>
      </w:tr>
      <w:tr w14:paraId="0CD16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12" w:type="dxa"/>
            <w:vMerge w:val="restart"/>
            <w:tcBorders>
              <w:tl2br w:val="nil"/>
              <w:tr2bl w:val="nil"/>
            </w:tcBorders>
            <w:textDirection w:val="tbRlV"/>
          </w:tcPr>
          <w:p w14:paraId="7D11687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风险识别</w:t>
            </w:r>
          </w:p>
        </w:tc>
        <w:tc>
          <w:tcPr>
            <w:tcW w:w="1460" w:type="dxa"/>
            <w:tcBorders>
              <w:tl2br w:val="nil"/>
              <w:tr2bl w:val="nil"/>
            </w:tcBorders>
          </w:tcPr>
          <w:p w14:paraId="2BD8B7A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物质危险性</w:t>
            </w:r>
          </w:p>
        </w:tc>
        <w:tc>
          <w:tcPr>
            <w:tcW w:w="3360" w:type="dxa"/>
            <w:gridSpan w:val="4"/>
            <w:tcBorders>
              <w:tl2br w:val="nil"/>
              <w:tr2bl w:val="nil"/>
            </w:tcBorders>
          </w:tcPr>
          <w:p w14:paraId="7CBC450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有毒有害☑</w:t>
            </w:r>
          </w:p>
        </w:tc>
        <w:tc>
          <w:tcPr>
            <w:tcW w:w="3820" w:type="dxa"/>
            <w:gridSpan w:val="4"/>
            <w:tcBorders>
              <w:tl2br w:val="nil"/>
              <w:tr2bl w:val="nil"/>
            </w:tcBorders>
          </w:tcPr>
          <w:p w14:paraId="6A0A063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易燃易爆□</w:t>
            </w:r>
          </w:p>
        </w:tc>
      </w:tr>
      <w:tr w14:paraId="72C94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512" w:type="dxa"/>
            <w:vMerge w:val="continue"/>
            <w:tcBorders>
              <w:tl2br w:val="nil"/>
              <w:tr2bl w:val="nil"/>
            </w:tcBorders>
            <w:textDirection w:val="tbRlV"/>
          </w:tcPr>
          <w:p w14:paraId="3502F75E">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tcBorders>
              <w:tl2br w:val="nil"/>
              <w:tr2bl w:val="nil"/>
            </w:tcBorders>
          </w:tcPr>
          <w:p w14:paraId="1D19D25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环境风险类</w:t>
            </w:r>
            <w:r>
              <w:rPr>
                <w:rFonts w:eastAsia="宋体"/>
                <w:snapToGrid w:val="0"/>
                <w:color w:val="000000" w:themeColor="text1"/>
                <w:kern w:val="0"/>
                <w:szCs w:val="20"/>
                <w:lang w:eastAsia="en-US"/>
                <w14:textFill>
                  <w14:solidFill>
                    <w14:schemeClr w14:val="tx1"/>
                  </w14:solidFill>
                </w14:textFill>
              </w:rPr>
              <w:t>型</w:t>
            </w:r>
          </w:p>
        </w:tc>
        <w:tc>
          <w:tcPr>
            <w:tcW w:w="3360" w:type="dxa"/>
            <w:gridSpan w:val="4"/>
            <w:tcBorders>
              <w:tl2br w:val="nil"/>
              <w:tr2bl w:val="nil"/>
            </w:tcBorders>
          </w:tcPr>
          <w:p w14:paraId="465F79FC">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4"/>
                <w:kern w:val="0"/>
                <w:szCs w:val="20"/>
                <w:lang w:eastAsia="en-US"/>
                <w14:textFill>
                  <w14:solidFill>
                    <w14:schemeClr w14:val="tx1"/>
                  </w14:solidFill>
                </w14:textFill>
              </w:rPr>
              <w:t>泄漏□</w:t>
            </w:r>
          </w:p>
        </w:tc>
        <w:tc>
          <w:tcPr>
            <w:tcW w:w="3820" w:type="dxa"/>
            <w:gridSpan w:val="4"/>
            <w:tcBorders>
              <w:tl2br w:val="nil"/>
              <w:tr2bl w:val="nil"/>
            </w:tcBorders>
          </w:tcPr>
          <w:p w14:paraId="37F0E1ED">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14:textFill>
                  <w14:solidFill>
                    <w14:schemeClr w14:val="tx1"/>
                  </w14:solidFill>
                </w14:textFill>
              </w:rPr>
              <w:t>火灾、爆炸引发伴生/次生污染物排放☑</w:t>
            </w:r>
          </w:p>
        </w:tc>
      </w:tr>
      <w:tr w14:paraId="7445C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512" w:type="dxa"/>
            <w:vMerge w:val="continue"/>
            <w:tcBorders>
              <w:tl2br w:val="nil"/>
              <w:tr2bl w:val="nil"/>
            </w:tcBorders>
            <w:textDirection w:val="tbRlV"/>
          </w:tcPr>
          <w:p w14:paraId="0D72F7B8">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c>
          <w:tcPr>
            <w:tcW w:w="1460" w:type="dxa"/>
            <w:tcBorders>
              <w:tl2br w:val="nil"/>
              <w:tr2bl w:val="nil"/>
            </w:tcBorders>
          </w:tcPr>
          <w:p w14:paraId="3482F7F3">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影响途径</w:t>
            </w:r>
          </w:p>
        </w:tc>
        <w:tc>
          <w:tcPr>
            <w:tcW w:w="3360" w:type="dxa"/>
            <w:gridSpan w:val="4"/>
            <w:tcBorders>
              <w:tl2br w:val="nil"/>
              <w:tr2bl w:val="nil"/>
            </w:tcBorders>
          </w:tcPr>
          <w:p w14:paraId="53CC0D8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大气☑</w:t>
            </w:r>
          </w:p>
        </w:tc>
        <w:tc>
          <w:tcPr>
            <w:tcW w:w="1666" w:type="dxa"/>
            <w:gridSpan w:val="2"/>
            <w:tcBorders>
              <w:tl2br w:val="nil"/>
              <w:tr2bl w:val="nil"/>
            </w:tcBorders>
          </w:tcPr>
          <w:p w14:paraId="38DBAFFE">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地表水</w:t>
            </w:r>
            <w:r>
              <w:rPr>
                <w:rFonts w:eastAsia="宋体"/>
                <w:snapToGrid w:val="0"/>
                <w:color w:val="000000" w:themeColor="text1"/>
                <w:spacing w:val="6"/>
                <w:kern w:val="0"/>
                <w:szCs w:val="20"/>
                <w14:textFill>
                  <w14:solidFill>
                    <w14:schemeClr w14:val="tx1"/>
                  </w14:solidFill>
                </w14:textFill>
              </w:rPr>
              <w:t>□</w:t>
            </w:r>
          </w:p>
        </w:tc>
        <w:tc>
          <w:tcPr>
            <w:tcW w:w="2154" w:type="dxa"/>
            <w:gridSpan w:val="2"/>
            <w:tcBorders>
              <w:tl2br w:val="nil"/>
              <w:tr2bl w:val="nil"/>
            </w:tcBorders>
          </w:tcPr>
          <w:p w14:paraId="2245FF6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地下水☑</w:t>
            </w:r>
          </w:p>
        </w:tc>
      </w:tr>
      <w:tr w14:paraId="09395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972" w:type="dxa"/>
            <w:gridSpan w:val="2"/>
            <w:tcBorders>
              <w:tl2br w:val="nil"/>
              <w:tr2bl w:val="nil"/>
            </w:tcBorders>
          </w:tcPr>
          <w:p w14:paraId="30294566">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事故情形分析</w:t>
            </w:r>
          </w:p>
        </w:tc>
        <w:tc>
          <w:tcPr>
            <w:tcW w:w="1206" w:type="dxa"/>
            <w:tcBorders>
              <w:tl2br w:val="nil"/>
              <w:tr2bl w:val="nil"/>
            </w:tcBorders>
          </w:tcPr>
          <w:p w14:paraId="677AD4EE">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源强设定</w:t>
            </w:r>
            <w:r>
              <w:rPr>
                <w:rFonts w:eastAsia="宋体"/>
                <w:snapToGrid w:val="0"/>
                <w:color w:val="000000" w:themeColor="text1"/>
                <w:spacing w:val="4"/>
                <w:kern w:val="0"/>
                <w:szCs w:val="20"/>
                <w:lang w:eastAsia="en-US"/>
                <w14:textFill>
                  <w14:solidFill>
                    <w14:schemeClr w14:val="tx1"/>
                  </w14:solidFill>
                </w14:textFill>
              </w:rPr>
              <w:t>方法</w:t>
            </w:r>
          </w:p>
        </w:tc>
        <w:tc>
          <w:tcPr>
            <w:tcW w:w="2154" w:type="dxa"/>
            <w:gridSpan w:val="3"/>
            <w:tcBorders>
              <w:tl2br w:val="nil"/>
              <w:tr2bl w:val="nil"/>
            </w:tcBorders>
          </w:tcPr>
          <w:p w14:paraId="6E25D0F8">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计算法☑</w:t>
            </w:r>
          </w:p>
        </w:tc>
        <w:tc>
          <w:tcPr>
            <w:tcW w:w="1666" w:type="dxa"/>
            <w:gridSpan w:val="2"/>
            <w:tcBorders>
              <w:tl2br w:val="nil"/>
              <w:tr2bl w:val="nil"/>
            </w:tcBorders>
          </w:tcPr>
          <w:p w14:paraId="4F3F7FB2">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经验估算法</w:t>
            </w:r>
            <w:r>
              <w:rPr>
                <w:rFonts w:eastAsia="宋体"/>
                <w:snapToGrid w:val="0"/>
                <w:color w:val="000000" w:themeColor="text1"/>
                <w:spacing w:val="7"/>
                <w:kern w:val="0"/>
                <w:szCs w:val="20"/>
                <w14:textFill>
                  <w14:solidFill>
                    <w14:schemeClr w14:val="tx1"/>
                  </w14:solidFill>
                </w14:textFill>
              </w:rPr>
              <w:t>□</w:t>
            </w:r>
          </w:p>
        </w:tc>
        <w:tc>
          <w:tcPr>
            <w:tcW w:w="2154" w:type="dxa"/>
            <w:gridSpan w:val="2"/>
            <w:tcBorders>
              <w:tl2br w:val="nil"/>
              <w:tr2bl w:val="nil"/>
            </w:tcBorders>
          </w:tcPr>
          <w:p w14:paraId="12361B82">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7"/>
                <w:kern w:val="0"/>
                <w:szCs w:val="20"/>
                <w:lang w:eastAsia="en-US"/>
                <w14:textFill>
                  <w14:solidFill>
                    <w14:schemeClr w14:val="tx1"/>
                  </w14:solidFill>
                </w14:textFill>
              </w:rPr>
              <w:t>其他估算法</w:t>
            </w:r>
            <w:r>
              <w:rPr>
                <w:rFonts w:eastAsia="宋体"/>
                <w:snapToGrid w:val="0"/>
                <w:color w:val="000000" w:themeColor="text1"/>
                <w:spacing w:val="7"/>
                <w:kern w:val="0"/>
                <w:szCs w:val="20"/>
                <w14:textFill>
                  <w14:solidFill>
                    <w14:schemeClr w14:val="tx1"/>
                  </w14:solidFill>
                </w14:textFill>
              </w:rPr>
              <w:t>□</w:t>
            </w:r>
          </w:p>
        </w:tc>
      </w:tr>
      <w:tr w14:paraId="47F83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12" w:type="dxa"/>
            <w:vMerge w:val="restart"/>
            <w:tcBorders>
              <w:tl2br w:val="nil"/>
              <w:tr2bl w:val="nil"/>
            </w:tcBorders>
            <w:textDirection w:val="tbRlV"/>
          </w:tcPr>
          <w:p w14:paraId="05FF6C50">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风险预测与评价</w:t>
            </w:r>
          </w:p>
        </w:tc>
        <w:tc>
          <w:tcPr>
            <w:tcW w:w="1460" w:type="dxa"/>
            <w:vMerge w:val="restart"/>
            <w:tcBorders>
              <w:tl2br w:val="nil"/>
              <w:tr2bl w:val="nil"/>
            </w:tcBorders>
          </w:tcPr>
          <w:p w14:paraId="27E7EFA9">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p w14:paraId="416BF004">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3"/>
                <w:kern w:val="0"/>
                <w:szCs w:val="20"/>
                <w:lang w:eastAsia="en-US"/>
                <w14:textFill>
                  <w14:solidFill>
                    <w14:schemeClr w14:val="tx1"/>
                  </w14:solidFill>
                </w14:textFill>
              </w:rPr>
              <w:t>大气</w:t>
            </w:r>
          </w:p>
        </w:tc>
        <w:tc>
          <w:tcPr>
            <w:tcW w:w="1206" w:type="dxa"/>
            <w:tcBorders>
              <w:tl2br w:val="nil"/>
              <w:tr2bl w:val="nil"/>
            </w:tcBorders>
          </w:tcPr>
          <w:p w14:paraId="06028A39">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预测模型</w:t>
            </w:r>
          </w:p>
        </w:tc>
        <w:tc>
          <w:tcPr>
            <w:tcW w:w="2154" w:type="dxa"/>
            <w:gridSpan w:val="3"/>
            <w:tcBorders>
              <w:tl2br w:val="nil"/>
              <w:tr2bl w:val="nil"/>
            </w:tcBorders>
          </w:tcPr>
          <w:p w14:paraId="7C84D7E0">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SLAB</w:t>
            </w:r>
            <w:r>
              <w:rPr>
                <w:rFonts w:eastAsia="宋体"/>
                <w:snapToGrid w:val="0"/>
                <w:color w:val="000000" w:themeColor="text1"/>
                <w:spacing w:val="19"/>
                <w:kern w:val="0"/>
                <w:szCs w:val="20"/>
                <w:lang w:eastAsia="en-US"/>
                <w14:textFill>
                  <w14:solidFill>
                    <w14:schemeClr w14:val="tx1"/>
                  </w14:solidFill>
                </w14:textFill>
              </w:rPr>
              <w:t>☑</w:t>
            </w:r>
          </w:p>
        </w:tc>
        <w:tc>
          <w:tcPr>
            <w:tcW w:w="1666" w:type="dxa"/>
            <w:gridSpan w:val="2"/>
            <w:tcBorders>
              <w:tl2br w:val="nil"/>
              <w:tr2bl w:val="nil"/>
            </w:tcBorders>
          </w:tcPr>
          <w:p w14:paraId="268754F6">
            <w:pPr>
              <w:widowControl/>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kern w:val="0"/>
                <w:szCs w:val="20"/>
                <w:lang w:eastAsia="en-US"/>
                <w14:textFill>
                  <w14:solidFill>
                    <w14:schemeClr w14:val="tx1"/>
                  </w14:solidFill>
                </w14:textFill>
              </w:rPr>
              <w:t>AFTOX</w:t>
            </w:r>
            <w:r>
              <w:rPr>
                <w:rFonts w:eastAsia="宋体"/>
                <w:snapToGrid w:val="0"/>
                <w:color w:val="000000" w:themeColor="text1"/>
                <w:spacing w:val="38"/>
                <w:kern w:val="0"/>
                <w:szCs w:val="20"/>
                <w:lang w:eastAsia="en-US"/>
                <w14:textFill>
                  <w14:solidFill>
                    <w14:schemeClr w14:val="tx1"/>
                  </w14:solidFill>
                </w14:textFill>
              </w:rPr>
              <w:t>☑</w:t>
            </w:r>
          </w:p>
        </w:tc>
        <w:tc>
          <w:tcPr>
            <w:tcW w:w="2154" w:type="dxa"/>
            <w:gridSpan w:val="2"/>
            <w:tcBorders>
              <w:tl2br w:val="nil"/>
              <w:tr2bl w:val="nil"/>
            </w:tcBorders>
          </w:tcPr>
          <w:p w14:paraId="3412E019">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lang w:eastAsia="en-US"/>
                <w14:textFill>
                  <w14:solidFill>
                    <w14:schemeClr w14:val="tx1"/>
                  </w14:solidFill>
                </w14:textFill>
              </w:rPr>
              <w:t>其他</w:t>
            </w:r>
            <w:r>
              <w:rPr>
                <w:rFonts w:eastAsia="宋体"/>
                <w:snapToGrid w:val="0"/>
                <w:color w:val="000000" w:themeColor="text1"/>
                <w:spacing w:val="5"/>
                <w:kern w:val="0"/>
                <w:szCs w:val="20"/>
                <w14:textFill>
                  <w14:solidFill>
                    <w14:schemeClr w14:val="tx1"/>
                  </w14:solidFill>
                </w14:textFill>
              </w:rPr>
              <w:t>□</w:t>
            </w:r>
          </w:p>
        </w:tc>
      </w:tr>
      <w:tr w14:paraId="35426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12" w:type="dxa"/>
            <w:vMerge w:val="continue"/>
            <w:tcBorders>
              <w:tl2br w:val="nil"/>
              <w:tr2bl w:val="nil"/>
            </w:tcBorders>
            <w:textDirection w:val="tbRlV"/>
          </w:tcPr>
          <w:p w14:paraId="055953CE">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460" w:type="dxa"/>
            <w:vMerge w:val="continue"/>
            <w:tcBorders>
              <w:tl2br w:val="nil"/>
              <w:tr2bl w:val="nil"/>
            </w:tcBorders>
          </w:tcPr>
          <w:p w14:paraId="48BAE7AD">
            <w:pPr>
              <w:widowControl/>
              <w:kinsoku w:val="0"/>
              <w:autoSpaceDE w:val="0"/>
              <w:autoSpaceDN w:val="0"/>
              <w:adjustRightInd w:val="0"/>
              <w:snapToGrid w:val="0"/>
              <w:jc w:val="center"/>
              <w:textAlignment w:val="baseline"/>
              <w:rPr>
                <w:rFonts w:eastAsia="宋体"/>
                <w:snapToGrid w:val="0"/>
                <w:color w:val="000000" w:themeColor="text1"/>
                <w:kern w:val="0"/>
                <w:szCs w:val="21"/>
                <w:lang w:eastAsia="en-US"/>
                <w14:textFill>
                  <w14:solidFill>
                    <w14:schemeClr w14:val="tx1"/>
                  </w14:solidFill>
                </w14:textFill>
              </w:rPr>
            </w:pPr>
          </w:p>
        </w:tc>
        <w:tc>
          <w:tcPr>
            <w:tcW w:w="1206" w:type="dxa"/>
            <w:vMerge w:val="restart"/>
            <w:tcBorders>
              <w:tl2br w:val="nil"/>
              <w:tr2bl w:val="nil"/>
            </w:tcBorders>
          </w:tcPr>
          <w:p w14:paraId="2D97FBDA">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预测结果</w:t>
            </w:r>
          </w:p>
        </w:tc>
        <w:tc>
          <w:tcPr>
            <w:tcW w:w="5974" w:type="dxa"/>
            <w:gridSpan w:val="7"/>
            <w:tcBorders>
              <w:tl2br w:val="nil"/>
              <w:tr2bl w:val="nil"/>
            </w:tcBorders>
          </w:tcPr>
          <w:p w14:paraId="62C2D720">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14:textFill>
                  <w14:solidFill>
                    <w14:schemeClr w14:val="tx1"/>
                  </w14:solidFill>
                </w14:textFill>
              </w:rPr>
              <w:t>大气毒性终点浓度-1最大影响范围</w:t>
            </w:r>
            <w:r>
              <w:rPr>
                <w:rFonts w:eastAsia="宋体"/>
                <w:snapToGrid w:val="0"/>
                <w:color w:val="000000" w:themeColor="text1"/>
                <w:kern w:val="0"/>
                <w:szCs w:val="20"/>
                <w14:textFill>
                  <w14:solidFill>
                    <w14:schemeClr w14:val="tx1"/>
                  </w14:solidFill>
                </w14:textFill>
              </w:rPr>
              <w:t>NH</w:t>
            </w:r>
            <w:r>
              <w:rPr>
                <w:rFonts w:eastAsia="宋体"/>
                <w:snapToGrid w:val="0"/>
                <w:color w:val="000000" w:themeColor="text1"/>
                <w:spacing w:val="5"/>
                <w:kern w:val="0"/>
                <w:position w:val="-1"/>
                <w:szCs w:val="13"/>
                <w:vertAlign w:val="subscript"/>
                <w14:textFill>
                  <w14:solidFill>
                    <w14:schemeClr w14:val="tx1"/>
                  </w14:solidFill>
                </w14:textFill>
              </w:rPr>
              <w:t>3</w:t>
            </w:r>
            <w:r>
              <w:rPr>
                <w:rFonts w:eastAsia="宋体"/>
                <w:snapToGrid w:val="0"/>
                <w:color w:val="000000" w:themeColor="text1"/>
                <w:spacing w:val="5"/>
                <w:kern w:val="0"/>
                <w:szCs w:val="20"/>
                <w14:textFill>
                  <w14:solidFill>
                    <w14:schemeClr w14:val="tx1"/>
                  </w14:solidFill>
                </w14:textFill>
              </w:rPr>
              <w:t>：</w:t>
            </w:r>
            <w:r>
              <w:rPr>
                <w:rFonts w:eastAsia="宋体"/>
                <w:snapToGrid w:val="0"/>
                <w:color w:val="000000" w:themeColor="text1"/>
                <w:spacing w:val="5"/>
                <w:kern w:val="0"/>
                <w:szCs w:val="20"/>
                <w:u w:val="single"/>
                <w14:textFill>
                  <w14:solidFill>
                    <w14:schemeClr w14:val="tx1"/>
                  </w14:solidFill>
                </w14:textFill>
              </w:rPr>
              <w:t>0</w:t>
            </w:r>
            <w:r>
              <w:rPr>
                <w:rFonts w:eastAsia="宋体"/>
                <w:snapToGrid w:val="0"/>
                <w:color w:val="000000" w:themeColor="text1"/>
                <w:spacing w:val="5"/>
                <w:kern w:val="0"/>
                <w:szCs w:val="20"/>
                <w14:textFill>
                  <w14:solidFill>
                    <w14:schemeClr w14:val="tx1"/>
                  </w14:solidFill>
                </w14:textFill>
              </w:rPr>
              <w:t>m、</w:t>
            </w:r>
            <w:r>
              <w:rPr>
                <w:rFonts w:eastAsia="宋体"/>
                <w:snapToGrid w:val="0"/>
                <w:color w:val="000000" w:themeColor="text1"/>
                <w:kern w:val="0"/>
                <w:szCs w:val="20"/>
                <w14:textFill>
                  <w14:solidFill>
                    <w14:schemeClr w14:val="tx1"/>
                  </w14:solidFill>
                </w14:textFill>
              </w:rPr>
              <w:t>SO</w:t>
            </w:r>
            <w:r>
              <w:rPr>
                <w:rFonts w:eastAsia="宋体"/>
                <w:snapToGrid w:val="0"/>
                <w:color w:val="000000" w:themeColor="text1"/>
                <w:spacing w:val="5"/>
                <w:kern w:val="0"/>
                <w:position w:val="-1"/>
                <w:szCs w:val="13"/>
                <w:vertAlign w:val="subscript"/>
                <w14:textFill>
                  <w14:solidFill>
                    <w14:schemeClr w14:val="tx1"/>
                  </w14:solidFill>
                </w14:textFill>
              </w:rPr>
              <w:t>2</w:t>
            </w:r>
            <w:r>
              <w:rPr>
                <w:rFonts w:eastAsia="宋体"/>
                <w:snapToGrid w:val="0"/>
                <w:color w:val="000000" w:themeColor="text1"/>
                <w:spacing w:val="5"/>
                <w:kern w:val="0"/>
                <w:szCs w:val="20"/>
                <w14:textFill>
                  <w14:solidFill>
                    <w14:schemeClr w14:val="tx1"/>
                  </w14:solidFill>
                </w14:textFill>
              </w:rPr>
              <w:t>：</w:t>
            </w:r>
            <w:r>
              <w:rPr>
                <w:rFonts w:eastAsia="宋体"/>
                <w:snapToGrid w:val="0"/>
                <w:color w:val="000000" w:themeColor="text1"/>
                <w:spacing w:val="5"/>
                <w:kern w:val="0"/>
                <w:szCs w:val="20"/>
                <w:u w:val="single"/>
                <w14:textFill>
                  <w14:solidFill>
                    <w14:schemeClr w14:val="tx1"/>
                  </w14:solidFill>
                </w14:textFill>
              </w:rPr>
              <w:t>0</w:t>
            </w:r>
            <w:r>
              <w:rPr>
                <w:rFonts w:eastAsia="宋体"/>
                <w:snapToGrid w:val="0"/>
                <w:color w:val="000000" w:themeColor="text1"/>
                <w:spacing w:val="5"/>
                <w:kern w:val="0"/>
                <w:szCs w:val="20"/>
                <w14:textFill>
                  <w14:solidFill>
                    <w14:schemeClr w14:val="tx1"/>
                  </w14:solidFill>
                </w14:textFill>
              </w:rPr>
              <w:t>m</w:t>
            </w:r>
          </w:p>
        </w:tc>
      </w:tr>
      <w:tr w14:paraId="1A448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12" w:type="dxa"/>
            <w:vMerge w:val="continue"/>
            <w:tcBorders>
              <w:tl2br w:val="nil"/>
              <w:tr2bl w:val="nil"/>
            </w:tcBorders>
            <w:textDirection w:val="tbRlV"/>
          </w:tcPr>
          <w:p w14:paraId="16052829">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c>
          <w:tcPr>
            <w:tcW w:w="1460" w:type="dxa"/>
            <w:vMerge w:val="continue"/>
            <w:tcBorders>
              <w:tl2br w:val="nil"/>
              <w:tr2bl w:val="nil"/>
            </w:tcBorders>
          </w:tcPr>
          <w:p w14:paraId="0EB87E4D">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c>
          <w:tcPr>
            <w:tcW w:w="1206" w:type="dxa"/>
            <w:vMerge w:val="continue"/>
            <w:tcBorders>
              <w:tl2br w:val="nil"/>
              <w:tr2bl w:val="nil"/>
            </w:tcBorders>
          </w:tcPr>
          <w:p w14:paraId="6244419C">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c>
          <w:tcPr>
            <w:tcW w:w="5974" w:type="dxa"/>
            <w:gridSpan w:val="7"/>
            <w:tcBorders>
              <w:tl2br w:val="nil"/>
              <w:tr2bl w:val="nil"/>
            </w:tcBorders>
          </w:tcPr>
          <w:p w14:paraId="70BC7DB8">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14:textFill>
                  <w14:solidFill>
                    <w14:schemeClr w14:val="tx1"/>
                  </w14:solidFill>
                </w14:textFill>
              </w:rPr>
              <w:t>大气毒性终点浓度-2最大影响范围</w:t>
            </w:r>
            <w:r>
              <w:rPr>
                <w:rFonts w:eastAsia="宋体"/>
                <w:snapToGrid w:val="0"/>
                <w:color w:val="000000" w:themeColor="text1"/>
                <w:kern w:val="0"/>
                <w:szCs w:val="20"/>
                <w14:textFill>
                  <w14:solidFill>
                    <w14:schemeClr w14:val="tx1"/>
                  </w14:solidFill>
                </w14:textFill>
              </w:rPr>
              <w:t>NH</w:t>
            </w:r>
            <w:r>
              <w:rPr>
                <w:rFonts w:eastAsia="宋体"/>
                <w:snapToGrid w:val="0"/>
                <w:color w:val="000000" w:themeColor="text1"/>
                <w:spacing w:val="4"/>
                <w:kern w:val="0"/>
                <w:position w:val="-1"/>
                <w:szCs w:val="13"/>
                <w:vertAlign w:val="subscript"/>
                <w14:textFill>
                  <w14:solidFill>
                    <w14:schemeClr w14:val="tx1"/>
                  </w14:solidFill>
                </w14:textFill>
              </w:rPr>
              <w:t>3</w:t>
            </w:r>
            <w:r>
              <w:rPr>
                <w:rFonts w:eastAsia="宋体"/>
                <w:snapToGrid w:val="0"/>
                <w:color w:val="000000" w:themeColor="text1"/>
                <w:spacing w:val="4"/>
                <w:kern w:val="0"/>
                <w:szCs w:val="20"/>
                <w14:textFill>
                  <w14:solidFill>
                    <w14:schemeClr w14:val="tx1"/>
                  </w14:solidFill>
                </w14:textFill>
              </w:rPr>
              <w:t>：</w:t>
            </w:r>
            <w:r>
              <w:rPr>
                <w:rFonts w:eastAsia="宋体"/>
                <w:snapToGrid w:val="0"/>
                <w:color w:val="000000" w:themeColor="text1"/>
                <w:spacing w:val="4"/>
                <w:kern w:val="0"/>
                <w:szCs w:val="20"/>
                <w:u w:val="single"/>
                <w14:textFill>
                  <w14:solidFill>
                    <w14:schemeClr w14:val="tx1"/>
                  </w14:solidFill>
                </w14:textFill>
              </w:rPr>
              <w:t>50</w:t>
            </w:r>
            <w:r>
              <w:rPr>
                <w:rFonts w:eastAsia="宋体"/>
                <w:snapToGrid w:val="0"/>
                <w:color w:val="000000" w:themeColor="text1"/>
                <w:spacing w:val="4"/>
                <w:kern w:val="0"/>
                <w:szCs w:val="20"/>
                <w14:textFill>
                  <w14:solidFill>
                    <w14:schemeClr w14:val="tx1"/>
                  </w14:solidFill>
                </w14:textFill>
              </w:rPr>
              <w:t>m、</w:t>
            </w:r>
            <w:r>
              <w:rPr>
                <w:rFonts w:eastAsia="宋体"/>
                <w:snapToGrid w:val="0"/>
                <w:color w:val="000000" w:themeColor="text1"/>
                <w:kern w:val="0"/>
                <w:szCs w:val="20"/>
                <w14:textFill>
                  <w14:solidFill>
                    <w14:schemeClr w14:val="tx1"/>
                  </w14:solidFill>
                </w14:textFill>
              </w:rPr>
              <w:t>SO</w:t>
            </w:r>
            <w:r>
              <w:rPr>
                <w:rFonts w:eastAsia="宋体"/>
                <w:snapToGrid w:val="0"/>
                <w:color w:val="000000" w:themeColor="text1"/>
                <w:spacing w:val="4"/>
                <w:kern w:val="0"/>
                <w:position w:val="-1"/>
                <w:szCs w:val="13"/>
                <w:vertAlign w:val="subscript"/>
                <w14:textFill>
                  <w14:solidFill>
                    <w14:schemeClr w14:val="tx1"/>
                  </w14:solidFill>
                </w14:textFill>
              </w:rPr>
              <w:t>2</w:t>
            </w:r>
            <w:r>
              <w:rPr>
                <w:rFonts w:eastAsia="宋体"/>
                <w:snapToGrid w:val="0"/>
                <w:color w:val="000000" w:themeColor="text1"/>
                <w:spacing w:val="4"/>
                <w:kern w:val="0"/>
                <w:szCs w:val="20"/>
                <w14:textFill>
                  <w14:solidFill>
                    <w14:schemeClr w14:val="tx1"/>
                  </w14:solidFill>
                </w14:textFill>
              </w:rPr>
              <w:t>：</w:t>
            </w:r>
            <w:r>
              <w:rPr>
                <w:rFonts w:eastAsia="宋体"/>
                <w:snapToGrid w:val="0"/>
                <w:color w:val="000000" w:themeColor="text1"/>
                <w:spacing w:val="4"/>
                <w:kern w:val="0"/>
                <w:szCs w:val="20"/>
                <w:u w:val="single"/>
                <w14:textFill>
                  <w14:solidFill>
                    <w14:schemeClr w14:val="tx1"/>
                  </w14:solidFill>
                </w14:textFill>
              </w:rPr>
              <w:t>780</w:t>
            </w:r>
            <w:r>
              <w:rPr>
                <w:rFonts w:eastAsia="宋体"/>
                <w:snapToGrid w:val="0"/>
                <w:color w:val="000000" w:themeColor="text1"/>
                <w:spacing w:val="4"/>
                <w:kern w:val="0"/>
                <w:szCs w:val="20"/>
                <w14:textFill>
                  <w14:solidFill>
                    <w14:schemeClr w14:val="tx1"/>
                  </w14:solidFill>
                </w14:textFill>
              </w:rPr>
              <w:t>m</w:t>
            </w:r>
          </w:p>
        </w:tc>
      </w:tr>
      <w:tr w14:paraId="5C16B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12" w:type="dxa"/>
            <w:vMerge w:val="continue"/>
            <w:tcBorders>
              <w:tl2br w:val="nil"/>
              <w:tr2bl w:val="nil"/>
            </w:tcBorders>
            <w:textDirection w:val="tbRlV"/>
          </w:tcPr>
          <w:p w14:paraId="57ED1570">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c>
          <w:tcPr>
            <w:tcW w:w="1460" w:type="dxa"/>
            <w:tcBorders>
              <w:tl2br w:val="nil"/>
              <w:tr2bl w:val="nil"/>
            </w:tcBorders>
          </w:tcPr>
          <w:p w14:paraId="1A30AF8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地表水</w:t>
            </w:r>
          </w:p>
        </w:tc>
        <w:tc>
          <w:tcPr>
            <w:tcW w:w="7181" w:type="dxa"/>
            <w:gridSpan w:val="8"/>
            <w:tcBorders>
              <w:tl2br w:val="nil"/>
              <w:tr2bl w:val="nil"/>
            </w:tcBorders>
          </w:tcPr>
          <w:p w14:paraId="5DCC5B94">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最近环境敏感目标</w:t>
            </w:r>
            <w:r>
              <w:rPr>
                <w:rFonts w:eastAsia="宋体"/>
                <w:color w:val="000000" w:themeColor="text1"/>
                <w14:textFill>
                  <w14:solidFill>
                    <w14:schemeClr w14:val="tx1"/>
                  </w14:solidFill>
                </w14:textFill>
              </w:rPr>
              <w:t>阿什河</w:t>
            </w:r>
            <w:r>
              <w:rPr>
                <w:rFonts w:eastAsia="宋体"/>
                <w:snapToGrid w:val="0"/>
                <w:color w:val="000000" w:themeColor="text1"/>
                <w:spacing w:val="6"/>
                <w:kern w:val="0"/>
                <w:szCs w:val="20"/>
                <w14:textFill>
                  <w14:solidFill>
                    <w14:schemeClr w14:val="tx1"/>
                  </w14:solidFill>
                </w14:textFill>
              </w:rPr>
              <w:t>，到达时间</w:t>
            </w:r>
            <w:r>
              <w:rPr>
                <w:rFonts w:eastAsia="宋体"/>
                <w:snapToGrid w:val="0"/>
                <w:color w:val="000000" w:themeColor="text1"/>
                <w:spacing w:val="6"/>
                <w:kern w:val="0"/>
                <w:szCs w:val="20"/>
                <w:u w:val="single"/>
                <w14:textFill>
                  <w14:solidFill>
                    <w14:schemeClr w14:val="tx1"/>
                  </w14:solidFill>
                </w14:textFill>
              </w:rPr>
              <w:t>/</w:t>
            </w:r>
            <w:r>
              <w:rPr>
                <w:rFonts w:eastAsia="宋体"/>
                <w:snapToGrid w:val="0"/>
                <w:color w:val="000000" w:themeColor="text1"/>
                <w:spacing w:val="6"/>
                <w:kern w:val="0"/>
                <w:szCs w:val="20"/>
                <w14:textFill>
                  <w14:solidFill>
                    <w14:schemeClr w14:val="tx1"/>
                  </w14:solidFill>
                </w14:textFill>
              </w:rPr>
              <w:t>h</w:t>
            </w:r>
          </w:p>
        </w:tc>
      </w:tr>
      <w:tr w14:paraId="7CA75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12" w:type="dxa"/>
            <w:vMerge w:val="continue"/>
            <w:tcBorders>
              <w:tl2br w:val="nil"/>
              <w:tr2bl w:val="nil"/>
            </w:tcBorders>
            <w:textDirection w:val="tbRlV"/>
          </w:tcPr>
          <w:p w14:paraId="3EDBB99D">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c>
          <w:tcPr>
            <w:tcW w:w="1460" w:type="dxa"/>
            <w:vMerge w:val="restart"/>
            <w:tcBorders>
              <w:tl2br w:val="nil"/>
              <w:tr2bl w:val="nil"/>
            </w:tcBorders>
          </w:tcPr>
          <w:p w14:paraId="7DF2E885">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6"/>
                <w:kern w:val="0"/>
                <w:szCs w:val="20"/>
                <w:lang w:eastAsia="en-US"/>
                <w14:textFill>
                  <w14:solidFill>
                    <w14:schemeClr w14:val="tx1"/>
                  </w14:solidFill>
                </w14:textFill>
              </w:rPr>
              <w:t>地下水</w:t>
            </w:r>
          </w:p>
        </w:tc>
        <w:tc>
          <w:tcPr>
            <w:tcW w:w="7181" w:type="dxa"/>
            <w:gridSpan w:val="8"/>
            <w:tcBorders>
              <w:tl2br w:val="nil"/>
              <w:tr2bl w:val="nil"/>
            </w:tcBorders>
          </w:tcPr>
          <w:p w14:paraId="085A9065">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6"/>
                <w:kern w:val="0"/>
                <w:szCs w:val="20"/>
                <w14:textFill>
                  <w14:solidFill>
                    <w14:schemeClr w14:val="tx1"/>
                  </w14:solidFill>
                </w14:textFill>
              </w:rPr>
              <w:t>下游厂区边界到达时间</w:t>
            </w:r>
            <w:r>
              <w:rPr>
                <w:rFonts w:eastAsia="宋体"/>
                <w:snapToGrid w:val="0"/>
                <w:color w:val="000000" w:themeColor="text1"/>
                <w:spacing w:val="6"/>
                <w:kern w:val="0"/>
                <w:szCs w:val="20"/>
                <w:u w:val="single"/>
                <w14:textFill>
                  <w14:solidFill>
                    <w14:schemeClr w14:val="tx1"/>
                  </w14:solidFill>
                </w14:textFill>
              </w:rPr>
              <w:t>/</w:t>
            </w:r>
            <w:r>
              <w:rPr>
                <w:rFonts w:eastAsia="宋体"/>
                <w:snapToGrid w:val="0"/>
                <w:color w:val="000000" w:themeColor="text1"/>
                <w:spacing w:val="6"/>
                <w:kern w:val="0"/>
                <w:szCs w:val="20"/>
                <w14:textFill>
                  <w14:solidFill>
                    <w14:schemeClr w14:val="tx1"/>
                  </w14:solidFill>
                </w14:textFill>
              </w:rPr>
              <w:t>d</w:t>
            </w:r>
          </w:p>
        </w:tc>
      </w:tr>
      <w:tr w14:paraId="0DAA6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512" w:type="dxa"/>
            <w:vMerge w:val="continue"/>
            <w:tcBorders>
              <w:tl2br w:val="nil"/>
              <w:tr2bl w:val="nil"/>
            </w:tcBorders>
            <w:textDirection w:val="tbRlV"/>
          </w:tcPr>
          <w:p w14:paraId="10FDA4C2">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c>
          <w:tcPr>
            <w:tcW w:w="1460" w:type="dxa"/>
            <w:vMerge w:val="continue"/>
            <w:tcBorders>
              <w:tl2br w:val="nil"/>
              <w:tr2bl w:val="nil"/>
            </w:tcBorders>
          </w:tcPr>
          <w:p w14:paraId="0E0A0B79">
            <w:pPr>
              <w:widowControl/>
              <w:kinsoku w:val="0"/>
              <w:autoSpaceDE w:val="0"/>
              <w:autoSpaceDN w:val="0"/>
              <w:adjustRightInd w:val="0"/>
              <w:snapToGrid w:val="0"/>
              <w:jc w:val="center"/>
              <w:textAlignment w:val="baseline"/>
              <w:rPr>
                <w:rFonts w:eastAsia="宋体"/>
                <w:snapToGrid w:val="0"/>
                <w:color w:val="000000" w:themeColor="text1"/>
                <w:kern w:val="0"/>
                <w:szCs w:val="21"/>
                <w14:textFill>
                  <w14:solidFill>
                    <w14:schemeClr w14:val="tx1"/>
                  </w14:solidFill>
                </w14:textFill>
              </w:rPr>
            </w:pPr>
          </w:p>
        </w:tc>
        <w:tc>
          <w:tcPr>
            <w:tcW w:w="7181" w:type="dxa"/>
            <w:gridSpan w:val="8"/>
            <w:tcBorders>
              <w:tl2br w:val="nil"/>
              <w:tr2bl w:val="nil"/>
            </w:tcBorders>
          </w:tcPr>
          <w:p w14:paraId="473E8B73">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5"/>
                <w:kern w:val="0"/>
                <w:szCs w:val="20"/>
                <w14:textFill>
                  <w14:solidFill>
                    <w14:schemeClr w14:val="tx1"/>
                  </w14:solidFill>
                </w14:textFill>
              </w:rPr>
              <w:t>最近环境敏感目标黑龙江省沃科丰农业科技有限公司，到达时间</w:t>
            </w:r>
            <w:r>
              <w:rPr>
                <w:rFonts w:eastAsia="宋体"/>
                <w:snapToGrid w:val="0"/>
                <w:color w:val="000000" w:themeColor="text1"/>
                <w:spacing w:val="5"/>
                <w:kern w:val="0"/>
                <w:szCs w:val="20"/>
                <w:u w:val="single"/>
                <w14:textFill>
                  <w14:solidFill>
                    <w14:schemeClr w14:val="tx1"/>
                  </w14:solidFill>
                </w14:textFill>
              </w:rPr>
              <w:t>/</w:t>
            </w:r>
            <w:r>
              <w:rPr>
                <w:rFonts w:eastAsia="宋体"/>
                <w:snapToGrid w:val="0"/>
                <w:color w:val="000000" w:themeColor="text1"/>
                <w:spacing w:val="5"/>
                <w:kern w:val="0"/>
                <w:szCs w:val="20"/>
                <w14:textFill>
                  <w14:solidFill>
                    <w14:schemeClr w14:val="tx1"/>
                  </w14:solidFill>
                </w14:textFill>
              </w:rPr>
              <w:t>d</w:t>
            </w:r>
          </w:p>
        </w:tc>
      </w:tr>
      <w:tr w14:paraId="2D2BE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2" w:hRule="atLeast"/>
        </w:trPr>
        <w:tc>
          <w:tcPr>
            <w:tcW w:w="1972" w:type="dxa"/>
            <w:gridSpan w:val="2"/>
            <w:tcBorders>
              <w:tl2br w:val="nil"/>
              <w:tr2bl w:val="nil"/>
            </w:tcBorders>
            <w:vAlign w:val="center"/>
          </w:tcPr>
          <w:p w14:paraId="1DFDF6ED">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重点风险防范措施</w:t>
            </w:r>
          </w:p>
        </w:tc>
        <w:tc>
          <w:tcPr>
            <w:tcW w:w="7181" w:type="dxa"/>
            <w:gridSpan w:val="8"/>
            <w:tcBorders>
              <w:tl2br w:val="nil"/>
              <w:tr2bl w:val="nil"/>
            </w:tcBorders>
          </w:tcPr>
          <w:p w14:paraId="32051CB1">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8"/>
                <w:kern w:val="0"/>
                <w:szCs w:val="20"/>
                <w14:textFill>
                  <w14:solidFill>
                    <w14:schemeClr w14:val="tx1"/>
                  </w14:solidFill>
                </w14:textFill>
              </w:rPr>
              <w:t>严防生产过程中的跑、冒、滴、漏，实现全过程密闭化生产，减少火灾、爆炸、腐蚀、中毒的可能性；对与工艺物料直接接触的设备、管道、阀门选用合适的耐腐蚀材料制作，仪表选型也考虑到防腐蚀；设备、管线按照有关标准的规定涂识别色，重要管线应标注介质和流向。在阀门集中处，应对各阀门加以标识，以避免误开阀门；泵、管线的法兰、阀门等可能泄漏的地方应保持严密；所有建构筑物、容器、泵类、输送管道等均按规范作防腐蚀、防静电、防雷处理；采用防止超压引起爆炸的防爆卸压措施及阻止火灾蔓延的</w:t>
            </w:r>
            <w:r>
              <w:rPr>
                <w:rFonts w:eastAsia="宋体"/>
                <w:snapToGrid w:val="0"/>
                <w:color w:val="000000" w:themeColor="text1"/>
                <w:spacing w:val="4"/>
                <w:kern w:val="0"/>
                <w:szCs w:val="20"/>
                <w14:textFill>
                  <w14:solidFill>
                    <w14:schemeClr w14:val="tx1"/>
                  </w14:solidFill>
                </w14:textFill>
              </w:rPr>
              <w:t>措施，如：安全阀、爆破片、放空阀、排污阀、切断阀、逆止阀、安全水封、</w:t>
            </w:r>
            <w:r>
              <w:rPr>
                <w:rFonts w:eastAsia="宋体"/>
                <w:snapToGrid w:val="0"/>
                <w:color w:val="000000" w:themeColor="text1"/>
                <w:spacing w:val="10"/>
                <w:kern w:val="0"/>
                <w:szCs w:val="20"/>
                <w14:textFill>
                  <w14:solidFill>
                    <w14:schemeClr w14:val="tx1"/>
                  </w14:solidFill>
                </w14:textFill>
              </w:rPr>
              <w:t>阻火器、阻火阀等；装置区设置监测仪器用于检测设备、管道的泄漏情况。</w:t>
            </w:r>
            <w:r>
              <w:rPr>
                <w:rFonts w:eastAsia="宋体"/>
                <w:snapToGrid w:val="0"/>
                <w:color w:val="000000" w:themeColor="text1"/>
                <w:spacing w:val="9"/>
                <w:kern w:val="0"/>
                <w:szCs w:val="20"/>
                <w14:textFill>
                  <w14:solidFill>
                    <w14:schemeClr w14:val="tx1"/>
                  </w14:solidFill>
                </w14:textFill>
              </w:rPr>
              <w:t>厂区各个单元的地面基础应做好分区防渗工作。</w:t>
            </w:r>
          </w:p>
        </w:tc>
      </w:tr>
      <w:tr w14:paraId="1D2EE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72" w:type="dxa"/>
            <w:gridSpan w:val="2"/>
            <w:tcBorders>
              <w:tl2br w:val="nil"/>
              <w:tr2bl w:val="nil"/>
            </w:tcBorders>
          </w:tcPr>
          <w:p w14:paraId="132AE50C">
            <w:pPr>
              <w:kinsoku w:val="0"/>
              <w:autoSpaceDE w:val="0"/>
              <w:autoSpaceDN w:val="0"/>
              <w:adjustRightInd w:val="0"/>
              <w:snapToGrid w:val="0"/>
              <w:jc w:val="center"/>
              <w:textAlignment w:val="baseline"/>
              <w:rPr>
                <w:rFonts w:eastAsia="宋体"/>
                <w:snapToGrid w:val="0"/>
                <w:color w:val="000000" w:themeColor="text1"/>
                <w:kern w:val="0"/>
                <w:szCs w:val="20"/>
                <w:lang w:eastAsia="en-US"/>
                <w14:textFill>
                  <w14:solidFill>
                    <w14:schemeClr w14:val="tx1"/>
                  </w14:solidFill>
                </w14:textFill>
              </w:rPr>
            </w:pPr>
            <w:r>
              <w:rPr>
                <w:rFonts w:eastAsia="宋体"/>
                <w:snapToGrid w:val="0"/>
                <w:color w:val="000000" w:themeColor="text1"/>
                <w:spacing w:val="8"/>
                <w:kern w:val="0"/>
                <w:szCs w:val="20"/>
                <w:lang w:eastAsia="en-US"/>
                <w14:textFill>
                  <w14:solidFill>
                    <w14:schemeClr w14:val="tx1"/>
                  </w14:solidFill>
                </w14:textFill>
              </w:rPr>
              <w:t>评价结论与建议</w:t>
            </w:r>
          </w:p>
        </w:tc>
        <w:tc>
          <w:tcPr>
            <w:tcW w:w="7181" w:type="dxa"/>
            <w:gridSpan w:val="8"/>
            <w:tcBorders>
              <w:tl2br w:val="nil"/>
              <w:tr2bl w:val="nil"/>
            </w:tcBorders>
          </w:tcPr>
          <w:p w14:paraId="2DD41F6D">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14:textFill>
                  <w14:solidFill>
                    <w14:schemeClr w14:val="tx1"/>
                  </w14:solidFill>
                </w14:textFill>
              </w:rPr>
              <w:t>只要员工严格遵照国家有关规定生产、操作，发生危害事故的概率是很小的。</w:t>
            </w:r>
            <w:r>
              <w:rPr>
                <w:rFonts w:eastAsia="宋体"/>
                <w:snapToGrid w:val="0"/>
                <w:color w:val="000000" w:themeColor="text1"/>
                <w:spacing w:val="8"/>
                <w:kern w:val="0"/>
                <w:szCs w:val="20"/>
                <w14:textFill>
                  <w14:solidFill>
                    <w14:schemeClr w14:val="tx1"/>
                  </w14:solidFill>
                </w14:textFill>
              </w:rPr>
              <w:t>发生事故时严格落实各项防止环境污染的措施和要求，采取紧急的工程应急</w:t>
            </w:r>
            <w:r>
              <w:rPr>
                <w:rFonts w:eastAsia="宋体"/>
                <w:snapToGrid w:val="0"/>
                <w:color w:val="000000" w:themeColor="text1"/>
                <w:spacing w:val="9"/>
                <w:kern w:val="0"/>
                <w:szCs w:val="20"/>
                <w14:textFill>
                  <w14:solidFill>
                    <w14:schemeClr w14:val="tx1"/>
                  </w14:solidFill>
                </w14:textFill>
              </w:rPr>
              <w:t>措施和社会应急措施，事故产生的影响是可以控制的。</w:t>
            </w:r>
          </w:p>
        </w:tc>
      </w:tr>
      <w:tr w14:paraId="486FD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9153" w:type="dxa"/>
            <w:gridSpan w:val="10"/>
            <w:tcBorders>
              <w:tl2br w:val="nil"/>
              <w:tr2bl w:val="nil"/>
            </w:tcBorders>
          </w:tcPr>
          <w:p w14:paraId="7D39303D">
            <w:pPr>
              <w:kinsoku w:val="0"/>
              <w:autoSpaceDE w:val="0"/>
              <w:autoSpaceDN w:val="0"/>
              <w:adjustRightInd w:val="0"/>
              <w:snapToGrid w:val="0"/>
              <w:jc w:val="center"/>
              <w:textAlignment w:val="baseline"/>
              <w:rPr>
                <w:rFonts w:eastAsia="宋体"/>
                <w:snapToGrid w:val="0"/>
                <w:color w:val="000000" w:themeColor="text1"/>
                <w:kern w:val="0"/>
                <w:szCs w:val="20"/>
                <w14:textFill>
                  <w14:solidFill>
                    <w14:schemeClr w14:val="tx1"/>
                  </w14:solidFill>
                </w14:textFill>
              </w:rPr>
            </w:pPr>
            <w:r>
              <w:rPr>
                <w:rFonts w:eastAsia="宋体"/>
                <w:snapToGrid w:val="0"/>
                <w:color w:val="000000" w:themeColor="text1"/>
                <w:spacing w:val="4"/>
                <w:kern w:val="0"/>
                <w:szCs w:val="20"/>
                <w14:textFill>
                  <w14:solidFill>
                    <w14:schemeClr w14:val="tx1"/>
                  </w14:solidFill>
                </w14:textFill>
              </w:rPr>
              <w:t>注：“ℼ□”为勾选项，“”为填</w:t>
            </w:r>
            <w:r>
              <w:rPr>
                <w:rFonts w:eastAsia="宋体"/>
                <w:snapToGrid w:val="0"/>
                <w:color w:val="000000" w:themeColor="text1"/>
                <w:spacing w:val="3"/>
                <w:kern w:val="0"/>
                <w:szCs w:val="20"/>
                <w14:textFill>
                  <w14:solidFill>
                    <w14:schemeClr w14:val="tx1"/>
                  </w14:solidFill>
                </w14:textFill>
              </w:rPr>
              <w:t>写项。</w:t>
            </w:r>
          </w:p>
        </w:tc>
      </w:tr>
    </w:tbl>
    <w:p w14:paraId="385E9D61">
      <w:pPr>
        <w:pStyle w:val="31"/>
        <w:ind w:firstLine="0" w:firstLineChars="0"/>
        <w:rPr>
          <w:rFonts w:eastAsia="宋体"/>
          <w:color w:val="000000" w:themeColor="text1"/>
          <w14:textFill>
            <w14:solidFill>
              <w14:schemeClr w14:val="tx1"/>
            </w14:solidFill>
          </w14:textFill>
        </w:rPr>
      </w:pPr>
    </w:p>
    <w:p w14:paraId="79E63B2C">
      <w:pPr>
        <w:rPr>
          <w:rFonts w:eastAsia="宋体"/>
          <w:color w:val="000000" w:themeColor="text1"/>
          <w14:textFill>
            <w14:solidFill>
              <w14:schemeClr w14:val="tx1"/>
            </w14:solidFill>
          </w14:textFill>
        </w:rPr>
      </w:pPr>
    </w:p>
    <w:sectPr>
      <w:footerReference r:id="rId19" w:type="default"/>
      <w:pgSz w:w="11906" w:h="16838"/>
      <w:pgMar w:top="1440" w:right="1797" w:bottom="1440" w:left="1797" w:header="851" w:footer="992" w:gutter="0"/>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行楷">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embedRegular r:id="rId1" w:fontKey="{C9562ED3-4769-4249-9F06-CB3F8F46B900}"/>
  </w:font>
  <w:font w:name="WPSEMBED2">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92DEE">
    <w:pPr>
      <w:tabs>
        <w:tab w:val="center" w:pos="4153"/>
        <w:tab w:val="right" w:pos="8306"/>
      </w:tabs>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C6330">
    <w:pPr>
      <w:framePr w:wrap="around" w:vAnchor="text" w:hAnchor="margin" w:xAlign="center" w:y="1"/>
      <w:tabs>
        <w:tab w:val="center" w:pos="4153"/>
        <w:tab w:val="right" w:pos="8306"/>
      </w:tabs>
    </w:pPr>
    <w:r>
      <w:fldChar w:fldCharType="begin"/>
    </w:r>
    <w:r>
      <w:instrText xml:space="preserve">PAGE  </w:instrText>
    </w:r>
    <w:r>
      <w:fldChar w:fldCharType="end"/>
    </w:r>
  </w:p>
  <w:p w14:paraId="42854F57">
    <w:pPr>
      <w:tabs>
        <w:tab w:val="center" w:pos="4153"/>
        <w:tab w:val="right" w:pos="8306"/>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04DF1">
    <w:pPr>
      <w:pStyle w:val="21"/>
      <w:jc w:val="center"/>
    </w:pPr>
    <w:sdt>
      <w:sdtPr>
        <w:id w:val="-2074335048"/>
      </w:sdtP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CA016">
    <w:pPr>
      <w:pStyle w:val="2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AB413">
                          <w:pPr>
                            <w:pStyle w:val="2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3D6AB413">
                    <w:pPr>
                      <w:pStyle w:val="21"/>
                    </w:pPr>
                    <w:r>
                      <w:fldChar w:fldCharType="begin"/>
                    </w:r>
                    <w:r>
                      <w:instrText xml:space="preserve"> PAGE  \* MERGEFORMAT </w:instrText>
                    </w:r>
                    <w:r>
                      <w:fldChar w:fldCharType="separate"/>
                    </w:r>
                    <w:r>
                      <w:t>15</w:t>
                    </w:r>
                    <w:r>
                      <w:fldChar w:fldCharType="end"/>
                    </w:r>
                  </w:p>
                </w:txbxContent>
              </v:textbox>
            </v:shape>
          </w:pict>
        </mc:Fallback>
      </mc:AlternateContent>
    </w:r>
    <w:sdt>
      <w:sdtPr>
        <w:id w:val="147460550"/>
      </w:sdtP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8A91">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B9F3A">
                          <w:pPr>
                            <w:pStyle w:val="21"/>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418B9F3A">
                    <w:pPr>
                      <w:pStyle w:val="21"/>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DBE45">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43CBA">
                          <w:pPr>
                            <w:pStyle w:val="21"/>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24843CBA">
                    <w:pPr>
                      <w:pStyle w:val="21"/>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3DA9B">
    <w:pPr>
      <w:pStyle w:val="21"/>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7C217">
                          <w:pPr>
                            <w:pStyle w:val="21"/>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3477C217">
                    <w:pPr>
                      <w:pStyle w:val="21"/>
                    </w:pPr>
                    <w:r>
                      <w:fldChar w:fldCharType="begin"/>
                    </w:r>
                    <w:r>
                      <w:instrText xml:space="preserve"> PAGE  \* MERGEFORMAT </w:instrText>
                    </w:r>
                    <w:r>
                      <w:fldChar w:fldCharType="separate"/>
                    </w:r>
                    <w:r>
                      <w:t>92</w:t>
                    </w:r>
                    <w:r>
                      <w:fldChar w:fldCharType="end"/>
                    </w:r>
                  </w:p>
                </w:txbxContent>
              </v:textbox>
            </v:shape>
          </w:pict>
        </mc:Fallback>
      </mc:AlternateContent>
    </w:r>
  </w:p>
  <w:p w14:paraId="12704A4F">
    <w:pPr>
      <w:pStyle w:val="2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FD885">
    <w:pPr>
      <w:pStyle w:val="21"/>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19DF9">
                          <w:pPr>
                            <w:pStyle w:val="21"/>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3DE19DF9">
                    <w:pPr>
                      <w:pStyle w:val="21"/>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7AFF4">
    <w:pPr>
      <w:widowControl/>
      <w:kinsoku w:val="0"/>
      <w:autoSpaceDE w:val="0"/>
      <w:autoSpaceDN w:val="0"/>
      <w:adjustRightInd w:val="0"/>
      <w:snapToGrid w:val="0"/>
      <w:spacing w:line="167" w:lineRule="auto"/>
      <w:ind w:left="3"/>
      <w:jc w:val="left"/>
      <w:textAlignment w:val="baseline"/>
      <w:rPr>
        <w:rFonts w:ascii="宋体" w:hAnsi="宋体" w:cs="宋体"/>
        <w:snapToGrid w:val="0"/>
        <w:color w:val="000000"/>
        <w:kern w:val="0"/>
        <w:sz w:val="28"/>
        <w:szCs w:val="28"/>
        <w:lang w:eastAsia="en-US"/>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CF7BD">
                          <w:pPr>
                            <w:pStyle w:val="21"/>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ZTc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IxlNzywCAABXBAAADgAAAAAAAAABACAAAAAfAQAAZHJzL2Uyb0RvYy54bWxQSwUGAAAAAAYA&#10;BgBZAQAAvQUAAAAA&#10;">
              <v:fill on="f" focussize="0,0"/>
              <v:stroke on="f" weight="0.5pt"/>
              <v:imagedata o:title=""/>
              <o:lock v:ext="edit" aspectratio="f"/>
              <v:textbox inset="0mm,0mm,0mm,0mm" style="mso-fit-shape-to-text:t;">
                <w:txbxContent>
                  <w:p w14:paraId="14ECF7BD">
                    <w:pPr>
                      <w:pStyle w:val="21"/>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5F70A">
    <w:pPr>
      <w:widowControl/>
      <w:kinsoku w:val="0"/>
      <w:autoSpaceDE w:val="0"/>
      <w:autoSpaceDN w:val="0"/>
      <w:adjustRightInd w:val="0"/>
      <w:snapToGrid w:val="0"/>
      <w:spacing w:line="167" w:lineRule="auto"/>
      <w:ind w:left="121"/>
      <w:jc w:val="left"/>
      <w:textAlignment w:val="baseline"/>
      <w:rPr>
        <w:rFonts w:ascii="宋体" w:hAnsi="宋体" w:cs="宋体"/>
        <w:snapToGrid w:val="0"/>
        <w:color w:val="000000"/>
        <w:kern w:val="0"/>
        <w:sz w:val="28"/>
        <w:szCs w:val="28"/>
        <w:lang w:eastAsia="en-US"/>
      </w:rPr>
    </w:pPr>
    <w:r>
      <w:rPr>
        <w:sz w:val="2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C7899">
                          <w:pPr>
                            <w:pStyle w:val="21"/>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aeTMsAgAAW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MQ+s2ysNFbyyN0&#10;FM/b5SFAwKRrFKVX4qIVOi5V5jIdsaX/3Keoxz/C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bNp5MywCAABZBAAADgAAAAAAAAABACAAAAAfAQAAZHJzL2Uyb0RvYy54bWxQSwUGAAAAAAYA&#10;BgBZAQAAvQUAAAAA&#10;">
              <v:fill on="f" focussize="0,0"/>
              <v:stroke on="f" weight="0.5pt"/>
              <v:imagedata o:title=""/>
              <o:lock v:ext="edit" aspectratio="f"/>
              <v:textbox inset="0mm,0mm,0mm,0mm" style="mso-fit-shape-to-text:t;">
                <w:txbxContent>
                  <w:p w14:paraId="028C7899">
                    <w:pPr>
                      <w:pStyle w:val="21"/>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8613">
    <w:pPr>
      <w:widowControl/>
      <w:kinsoku w:val="0"/>
      <w:autoSpaceDE w:val="0"/>
      <w:autoSpaceDN w:val="0"/>
      <w:adjustRightInd w:val="0"/>
      <w:snapToGrid w:val="0"/>
      <w:spacing w:line="167" w:lineRule="auto"/>
      <w:ind w:left="121"/>
      <w:jc w:val="left"/>
      <w:textAlignment w:val="baseline"/>
      <w:rPr>
        <w:rFonts w:ascii="宋体" w:hAnsi="宋体" w:cs="宋体"/>
        <w:snapToGrid w:val="0"/>
        <w:color w:val="000000"/>
        <w:kern w:val="0"/>
        <w:sz w:val="28"/>
        <w:szCs w:val="28"/>
        <w:lang w:eastAsia="en-US"/>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7ED39">
                          <w:pPr>
                            <w:pStyle w:val="21"/>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7737ED39">
                    <w:pPr>
                      <w:pStyle w:val="21"/>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42FBC">
    <w:pPr>
      <w:widowControl/>
      <w:kinsoku w:val="0"/>
      <w:autoSpaceDE w:val="0"/>
      <w:autoSpaceDN w:val="0"/>
      <w:adjustRightInd w:val="0"/>
      <w:snapToGrid w:val="0"/>
      <w:spacing w:line="167" w:lineRule="auto"/>
      <w:ind w:left="7492"/>
      <w:jc w:val="left"/>
      <w:textAlignment w:val="baseline"/>
      <w:rPr>
        <w:rFonts w:ascii="宋体" w:hAnsi="宋体" w:cs="宋体"/>
        <w:snapToGrid w:val="0"/>
        <w:color w:val="000000"/>
        <w:kern w:val="0"/>
        <w:sz w:val="28"/>
        <w:szCs w:val="28"/>
        <w:lang w:eastAsia="en-US"/>
      </w:rPr>
    </w:pPr>
    <w:r>
      <w:rPr>
        <w:sz w:val="2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E4B1C1">
                          <w:pPr>
                            <w:pStyle w:val="21"/>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3P/FAt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lhLNFEp++vH9&#10;9PPh9OsbiYeQqLV+hsh7i9jQvTMdwodzj8PIvKucil9wIvBD4ONFYNEFwuOl6WQ6zeHi8A0b4GeP&#10;163z4b0wikSjoA4VTMKyw8aHPnQIidm0WTdSpipKTdqCXr1+k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3P/FAtAgAAWQQAAA4AAAAAAAAAAQAgAAAAHwEAAGRycy9lMm9Eb2MueG1sUEsFBgAAAAAG&#10;AAYAWQEAAL4FAAAAAA==&#10;">
              <v:fill on="f" focussize="0,0"/>
              <v:stroke on="f" weight="0.5pt"/>
              <v:imagedata o:title=""/>
              <o:lock v:ext="edit" aspectratio="f"/>
              <v:textbox inset="0mm,0mm,0mm,0mm" style="mso-fit-shape-to-text:t;">
                <w:txbxContent>
                  <w:p w14:paraId="09E4B1C1">
                    <w:pPr>
                      <w:pStyle w:val="21"/>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F5FC1">
    <w:pPr>
      <w:widowControl/>
      <w:kinsoku w:val="0"/>
      <w:autoSpaceDE w:val="0"/>
      <w:autoSpaceDN w:val="0"/>
      <w:adjustRightInd w:val="0"/>
      <w:snapToGrid w:val="0"/>
      <w:spacing w:line="167" w:lineRule="auto"/>
      <w:ind w:left="7492"/>
      <w:jc w:val="left"/>
      <w:textAlignment w:val="baseline"/>
      <w:rPr>
        <w:rFonts w:ascii="宋体" w:hAnsi="宋体" w:cs="宋体"/>
        <w:snapToGrid w:val="0"/>
        <w:color w:val="000000"/>
        <w:kern w:val="0"/>
        <w:sz w:val="28"/>
        <w:szCs w:val="28"/>
        <w:lang w:eastAsia="en-US"/>
      </w:rPr>
    </w:pPr>
    <w:r>
      <w:rPr>
        <w:sz w:val="2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1F058">
                          <w:pPr>
                            <w:pStyle w:val="21"/>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7Z4pMsAgAAW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tnikywCAABZBAAADgAAAAAAAAABACAAAAAfAQAAZHJzL2Uyb0RvYy54bWxQSwUGAAAAAAYA&#10;BgBZAQAAvQUAAAAA&#10;">
              <v:fill on="f" focussize="0,0"/>
              <v:stroke on="f" weight="0.5pt"/>
              <v:imagedata o:title=""/>
              <o:lock v:ext="edit" aspectratio="f"/>
              <v:textbox inset="0mm,0mm,0mm,0mm" style="mso-fit-shape-to-text:t;">
                <w:txbxContent>
                  <w:p w14:paraId="2061F058">
                    <w:pPr>
                      <w:pStyle w:val="21"/>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6B15A">
    <w:pPr>
      <w:widowControl/>
      <w:kinsoku w:val="0"/>
      <w:autoSpaceDE w:val="0"/>
      <w:autoSpaceDN w:val="0"/>
      <w:adjustRightInd w:val="0"/>
      <w:snapToGrid w:val="0"/>
      <w:spacing w:line="167" w:lineRule="auto"/>
      <w:jc w:val="right"/>
      <w:textAlignment w:val="baseline"/>
      <w:rPr>
        <w:rFonts w:ascii="宋体" w:hAnsi="宋体" w:cs="宋体"/>
        <w:snapToGrid w:val="0"/>
        <w:color w:val="000000"/>
        <w:kern w:val="0"/>
        <w:sz w:val="28"/>
        <w:szCs w:val="28"/>
        <w:lang w:eastAsia="en-US"/>
      </w:rPr>
    </w:pPr>
    <w:r>
      <w:rPr>
        <w:sz w:val="2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72412">
                          <w:pPr>
                            <w:pStyle w:val="21"/>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egIjwtAgAAW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fXo3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egIjwtAgAAWQQAAA4AAAAAAAAAAQAgAAAAHwEAAGRycy9lMm9Eb2MueG1sUEsFBgAAAAAG&#10;AAYAWQEAAL4FAAAAAA==&#10;">
              <v:fill on="f" focussize="0,0"/>
              <v:stroke on="f" weight="0.5pt"/>
              <v:imagedata o:title=""/>
              <o:lock v:ext="edit" aspectratio="f"/>
              <v:textbox inset="0mm,0mm,0mm,0mm" style="mso-fit-shape-to-text:t;">
                <w:txbxContent>
                  <w:p w14:paraId="1C472412">
                    <w:pPr>
                      <w:pStyle w:val="21"/>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E9B35">
    <w:pPr>
      <w:widowControl/>
      <w:kinsoku w:val="0"/>
      <w:autoSpaceDE w:val="0"/>
      <w:autoSpaceDN w:val="0"/>
      <w:adjustRightInd w:val="0"/>
      <w:snapToGrid w:val="0"/>
      <w:spacing w:line="167" w:lineRule="auto"/>
      <w:ind w:left="7493"/>
      <w:jc w:val="left"/>
      <w:textAlignment w:val="baseline"/>
      <w:rPr>
        <w:rFonts w:ascii="宋体" w:hAnsi="宋体" w:cs="宋体"/>
        <w:snapToGrid w:val="0"/>
        <w:color w:val="000000"/>
        <w:kern w:val="0"/>
        <w:sz w:val="28"/>
        <w:szCs w:val="28"/>
        <w:lang w:eastAsia="en-US"/>
      </w:rPr>
    </w:pPr>
    <w:r>
      <w:rPr>
        <w:sz w:val="2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414020" cy="1828800"/>
              <wp:effectExtent l="0" t="0" r="0" b="0"/>
              <wp:wrapNone/>
              <wp:docPr id="121" name="文本框 121"/>
              <wp:cNvGraphicFramePr/>
              <a:graphic xmlns:a="http://schemas.openxmlformats.org/drawingml/2006/main">
                <a:graphicData uri="http://schemas.microsoft.com/office/word/2010/wordprocessingShape">
                  <wps:wsp>
                    <wps:cNvSpPr txBox="1"/>
                    <wps:spPr>
                      <a:xfrm>
                        <a:off x="0" y="0"/>
                        <a:ext cx="414068"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313BE">
                          <w:pPr>
                            <w:pStyle w:val="21"/>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2.6pt;mso-position-horizontal:center;mso-position-horizontal-relative:margin;z-index:251683840;mso-width-relative:page;mso-height-relative:page;" filled="f" stroked="f" coordsize="21600,21600" o:gfxdata="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0CdVL1AAAAAQBAAAPAAAAAAAAAAEAIAAAACIAAABkcnMvZG93bnJldi54bWxQ&#10;SwECFAAUAAAACACHTuJAtuOdWDQCAABaBAAADgAAAAAAAAABACAAAAAjAQAAZHJzL2Uyb0RvYy54&#10;bWxQSwUGAAAAAAYABgBZAQAAyQUAAAAA&#10;">
              <v:fill on="f" focussize="0,0"/>
              <v:stroke on="f" weight="0.5pt"/>
              <v:imagedata o:title=""/>
              <o:lock v:ext="edit" aspectratio="f"/>
              <v:textbox inset="0mm,0mm,0mm,0mm" style="mso-fit-shape-to-text:t;">
                <w:txbxContent>
                  <w:p w14:paraId="55F313BE">
                    <w:pPr>
                      <w:pStyle w:val="21"/>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2A63C">
    <w:pPr>
      <w:widowControl/>
      <w:kinsoku w:val="0"/>
      <w:autoSpaceDE w:val="0"/>
      <w:autoSpaceDN w:val="0"/>
      <w:adjustRightInd w:val="0"/>
      <w:snapToGrid w:val="0"/>
      <w:spacing w:line="167" w:lineRule="auto"/>
      <w:ind w:left="7493"/>
      <w:jc w:val="left"/>
      <w:textAlignment w:val="baseline"/>
      <w:rPr>
        <w:rFonts w:ascii="宋体" w:hAnsi="宋体" w:cs="宋体"/>
        <w:snapToGrid w:val="0"/>
        <w:color w:val="000000"/>
        <w:kern w:val="0"/>
        <w:sz w:val="28"/>
        <w:szCs w:val="28"/>
        <w:lang w:eastAsia="en-US"/>
      </w:rPr>
    </w:pPr>
    <w:r>
      <w:rPr>
        <w:sz w:val="2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563090">
                          <w:pPr>
                            <w:pStyle w:val="21"/>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DiuEtAgAAWQ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lGimULJzz++&#10;n3/+Pv/6RuIhJGqsnyPywSI2tO9Mi/Dh3OMwMm9Lp+IXnAj8EPh0EVi0gfB4aTadzcZwcfiGDfCz&#10;p+vW+fBeGEWikVOHCiZh2XHrQxc6hMRs2mxqKVMVpSZNTq+v3o7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JDiuEtAgAAWQQAAA4AAAAAAAAAAQAgAAAAHwEAAGRycy9lMm9Eb2MueG1sUEsFBgAAAAAG&#10;AAYAWQEAAL4FAAAAAA==&#10;">
              <v:fill on="f" focussize="0,0"/>
              <v:stroke on="f" weight="0.5pt"/>
              <v:imagedata o:title=""/>
              <o:lock v:ext="edit" aspectratio="f"/>
              <v:textbox inset="0mm,0mm,0mm,0mm" style="mso-fit-shape-to-text:t;">
                <w:txbxContent>
                  <w:p w14:paraId="0E563090">
                    <w:pPr>
                      <w:pStyle w:val="21"/>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D537D">
    <w:pPr>
      <w:pStyle w:val="21"/>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18E4E1">
                          <w:pPr>
                            <w:pStyle w:val="21"/>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3818E4E1">
                    <w:pPr>
                      <w:pStyle w:val="21"/>
                    </w:pPr>
                    <w:r>
                      <w:fldChar w:fldCharType="begin"/>
                    </w:r>
                    <w:r>
                      <w:instrText xml:space="preserve"> PAGE  \* MERGEFORMAT </w:instrText>
                    </w:r>
                    <w:r>
                      <w:fldChar w:fldCharType="separate"/>
                    </w:r>
                    <w:r>
                      <w:t>97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F2178E"/>
    <w:multiLevelType w:val="singleLevel"/>
    <w:tmpl w:val="75F2178E"/>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mZjk3MjJiNWYzMmQ5NTdhMGFlMWEyZDU3MjdkNDAifQ=="/>
  </w:docVars>
  <w:rsids>
    <w:rsidRoot w:val="00A14947"/>
    <w:rsid w:val="000017EF"/>
    <w:rsid w:val="000020AF"/>
    <w:rsid w:val="00004F8B"/>
    <w:rsid w:val="000060B3"/>
    <w:rsid w:val="000066C5"/>
    <w:rsid w:val="00011751"/>
    <w:rsid w:val="00011FFE"/>
    <w:rsid w:val="000155A3"/>
    <w:rsid w:val="000161BD"/>
    <w:rsid w:val="00016F5D"/>
    <w:rsid w:val="00016F62"/>
    <w:rsid w:val="000176B4"/>
    <w:rsid w:val="00020D5B"/>
    <w:rsid w:val="00020F08"/>
    <w:rsid w:val="00021574"/>
    <w:rsid w:val="000236A1"/>
    <w:rsid w:val="0002507D"/>
    <w:rsid w:val="00026580"/>
    <w:rsid w:val="000321D0"/>
    <w:rsid w:val="00033AB7"/>
    <w:rsid w:val="00033AF3"/>
    <w:rsid w:val="00033E5B"/>
    <w:rsid w:val="00035D4F"/>
    <w:rsid w:val="00036F4C"/>
    <w:rsid w:val="00037F7D"/>
    <w:rsid w:val="00040A89"/>
    <w:rsid w:val="0004159B"/>
    <w:rsid w:val="000417E8"/>
    <w:rsid w:val="0004364B"/>
    <w:rsid w:val="00045F33"/>
    <w:rsid w:val="00045F65"/>
    <w:rsid w:val="00046F88"/>
    <w:rsid w:val="00047500"/>
    <w:rsid w:val="000500F7"/>
    <w:rsid w:val="000536F9"/>
    <w:rsid w:val="00053E45"/>
    <w:rsid w:val="00053FD7"/>
    <w:rsid w:val="00054089"/>
    <w:rsid w:val="00054C29"/>
    <w:rsid w:val="0005545E"/>
    <w:rsid w:val="000565AA"/>
    <w:rsid w:val="00057812"/>
    <w:rsid w:val="00061953"/>
    <w:rsid w:val="00061B1F"/>
    <w:rsid w:val="00065A3A"/>
    <w:rsid w:val="00065CEA"/>
    <w:rsid w:val="000669A0"/>
    <w:rsid w:val="000669AC"/>
    <w:rsid w:val="00066C59"/>
    <w:rsid w:val="000671AE"/>
    <w:rsid w:val="0006767F"/>
    <w:rsid w:val="00067E66"/>
    <w:rsid w:val="000706E3"/>
    <w:rsid w:val="0007152D"/>
    <w:rsid w:val="00071668"/>
    <w:rsid w:val="000722EC"/>
    <w:rsid w:val="00072E2B"/>
    <w:rsid w:val="000733C4"/>
    <w:rsid w:val="00073D48"/>
    <w:rsid w:val="00074783"/>
    <w:rsid w:val="00075141"/>
    <w:rsid w:val="00075F31"/>
    <w:rsid w:val="00076207"/>
    <w:rsid w:val="00077FB8"/>
    <w:rsid w:val="00080284"/>
    <w:rsid w:val="0008070B"/>
    <w:rsid w:val="000810AC"/>
    <w:rsid w:val="0008145D"/>
    <w:rsid w:val="00081A02"/>
    <w:rsid w:val="00082231"/>
    <w:rsid w:val="00083CB4"/>
    <w:rsid w:val="0008419D"/>
    <w:rsid w:val="00084EEA"/>
    <w:rsid w:val="00086469"/>
    <w:rsid w:val="00087530"/>
    <w:rsid w:val="0008759A"/>
    <w:rsid w:val="0008771A"/>
    <w:rsid w:val="000908D3"/>
    <w:rsid w:val="00092D38"/>
    <w:rsid w:val="0009377B"/>
    <w:rsid w:val="00093F5E"/>
    <w:rsid w:val="0009715C"/>
    <w:rsid w:val="000A12DB"/>
    <w:rsid w:val="000A1A19"/>
    <w:rsid w:val="000A20C9"/>
    <w:rsid w:val="000A2D5A"/>
    <w:rsid w:val="000A44C1"/>
    <w:rsid w:val="000A6C96"/>
    <w:rsid w:val="000A7085"/>
    <w:rsid w:val="000B058F"/>
    <w:rsid w:val="000B0A3D"/>
    <w:rsid w:val="000B4378"/>
    <w:rsid w:val="000B4467"/>
    <w:rsid w:val="000B4DB9"/>
    <w:rsid w:val="000B532D"/>
    <w:rsid w:val="000B5371"/>
    <w:rsid w:val="000B5BC0"/>
    <w:rsid w:val="000B602B"/>
    <w:rsid w:val="000B75B5"/>
    <w:rsid w:val="000C06DA"/>
    <w:rsid w:val="000C09AC"/>
    <w:rsid w:val="000C1CB1"/>
    <w:rsid w:val="000C20FC"/>
    <w:rsid w:val="000C221C"/>
    <w:rsid w:val="000C267E"/>
    <w:rsid w:val="000C44DE"/>
    <w:rsid w:val="000C55B8"/>
    <w:rsid w:val="000C5BD5"/>
    <w:rsid w:val="000C761B"/>
    <w:rsid w:val="000C767F"/>
    <w:rsid w:val="000D1103"/>
    <w:rsid w:val="000D21E4"/>
    <w:rsid w:val="000D296C"/>
    <w:rsid w:val="000D2BC6"/>
    <w:rsid w:val="000D3AB9"/>
    <w:rsid w:val="000D554F"/>
    <w:rsid w:val="000D5A44"/>
    <w:rsid w:val="000D5D0D"/>
    <w:rsid w:val="000D7A07"/>
    <w:rsid w:val="000E02CB"/>
    <w:rsid w:val="000E3E1C"/>
    <w:rsid w:val="000E3ED2"/>
    <w:rsid w:val="000E6B11"/>
    <w:rsid w:val="000E74DD"/>
    <w:rsid w:val="000F2D24"/>
    <w:rsid w:val="000F38D2"/>
    <w:rsid w:val="000F46C0"/>
    <w:rsid w:val="000F484C"/>
    <w:rsid w:val="000F4B57"/>
    <w:rsid w:val="000F5021"/>
    <w:rsid w:val="000F5042"/>
    <w:rsid w:val="000F5B4C"/>
    <w:rsid w:val="000F6D0A"/>
    <w:rsid w:val="000F773F"/>
    <w:rsid w:val="001004DA"/>
    <w:rsid w:val="001018CB"/>
    <w:rsid w:val="00101AD9"/>
    <w:rsid w:val="001020A7"/>
    <w:rsid w:val="0010281E"/>
    <w:rsid w:val="00103F78"/>
    <w:rsid w:val="00104B18"/>
    <w:rsid w:val="001051DC"/>
    <w:rsid w:val="00105B34"/>
    <w:rsid w:val="00105EF9"/>
    <w:rsid w:val="00106518"/>
    <w:rsid w:val="001130F5"/>
    <w:rsid w:val="00113D0E"/>
    <w:rsid w:val="00116AF4"/>
    <w:rsid w:val="00121997"/>
    <w:rsid w:val="001226D7"/>
    <w:rsid w:val="0012346C"/>
    <w:rsid w:val="00124313"/>
    <w:rsid w:val="0012476C"/>
    <w:rsid w:val="001267AE"/>
    <w:rsid w:val="001268CE"/>
    <w:rsid w:val="00127187"/>
    <w:rsid w:val="00127E1E"/>
    <w:rsid w:val="001301BC"/>
    <w:rsid w:val="00131578"/>
    <w:rsid w:val="00131F42"/>
    <w:rsid w:val="001321E8"/>
    <w:rsid w:val="00134FF2"/>
    <w:rsid w:val="001357F1"/>
    <w:rsid w:val="00135D70"/>
    <w:rsid w:val="001360B8"/>
    <w:rsid w:val="001368C5"/>
    <w:rsid w:val="00137BA6"/>
    <w:rsid w:val="00137E85"/>
    <w:rsid w:val="00140FA8"/>
    <w:rsid w:val="00142FEB"/>
    <w:rsid w:val="001430C1"/>
    <w:rsid w:val="00143A2D"/>
    <w:rsid w:val="00145258"/>
    <w:rsid w:val="001454BF"/>
    <w:rsid w:val="00145A41"/>
    <w:rsid w:val="00147D49"/>
    <w:rsid w:val="00151056"/>
    <w:rsid w:val="001511BD"/>
    <w:rsid w:val="00151675"/>
    <w:rsid w:val="00155684"/>
    <w:rsid w:val="00155A86"/>
    <w:rsid w:val="0015601D"/>
    <w:rsid w:val="00157435"/>
    <w:rsid w:val="00160CAB"/>
    <w:rsid w:val="00161964"/>
    <w:rsid w:val="00161D44"/>
    <w:rsid w:val="001625AA"/>
    <w:rsid w:val="001643D6"/>
    <w:rsid w:val="00164D22"/>
    <w:rsid w:val="0016580F"/>
    <w:rsid w:val="0016627E"/>
    <w:rsid w:val="00166AF0"/>
    <w:rsid w:val="00171717"/>
    <w:rsid w:val="00171BE7"/>
    <w:rsid w:val="0017204D"/>
    <w:rsid w:val="00173D69"/>
    <w:rsid w:val="00174060"/>
    <w:rsid w:val="001746AD"/>
    <w:rsid w:val="0017504D"/>
    <w:rsid w:val="001752BA"/>
    <w:rsid w:val="00175335"/>
    <w:rsid w:val="00175D77"/>
    <w:rsid w:val="0017671A"/>
    <w:rsid w:val="00176771"/>
    <w:rsid w:val="00177422"/>
    <w:rsid w:val="00180A1B"/>
    <w:rsid w:val="00180D51"/>
    <w:rsid w:val="00181BFA"/>
    <w:rsid w:val="00182EB3"/>
    <w:rsid w:val="00184590"/>
    <w:rsid w:val="001870D1"/>
    <w:rsid w:val="0018781E"/>
    <w:rsid w:val="0019195E"/>
    <w:rsid w:val="0019262D"/>
    <w:rsid w:val="0019341D"/>
    <w:rsid w:val="00193BB0"/>
    <w:rsid w:val="001944C8"/>
    <w:rsid w:val="001947B6"/>
    <w:rsid w:val="001A0177"/>
    <w:rsid w:val="001A0417"/>
    <w:rsid w:val="001A0562"/>
    <w:rsid w:val="001A1B35"/>
    <w:rsid w:val="001A48A2"/>
    <w:rsid w:val="001A4EEE"/>
    <w:rsid w:val="001A589E"/>
    <w:rsid w:val="001A5E23"/>
    <w:rsid w:val="001A6F61"/>
    <w:rsid w:val="001B01DB"/>
    <w:rsid w:val="001B053E"/>
    <w:rsid w:val="001B130B"/>
    <w:rsid w:val="001B16E3"/>
    <w:rsid w:val="001B41F9"/>
    <w:rsid w:val="001B4AE0"/>
    <w:rsid w:val="001B6225"/>
    <w:rsid w:val="001B72B8"/>
    <w:rsid w:val="001B78C0"/>
    <w:rsid w:val="001C0D4C"/>
    <w:rsid w:val="001C1508"/>
    <w:rsid w:val="001C154D"/>
    <w:rsid w:val="001C2E55"/>
    <w:rsid w:val="001C4122"/>
    <w:rsid w:val="001C69B3"/>
    <w:rsid w:val="001C6D0E"/>
    <w:rsid w:val="001C7AB9"/>
    <w:rsid w:val="001D1504"/>
    <w:rsid w:val="001D3A92"/>
    <w:rsid w:val="001D5202"/>
    <w:rsid w:val="001D5595"/>
    <w:rsid w:val="001D56F5"/>
    <w:rsid w:val="001D5806"/>
    <w:rsid w:val="001D6C91"/>
    <w:rsid w:val="001D7874"/>
    <w:rsid w:val="001D7F22"/>
    <w:rsid w:val="001E0DEA"/>
    <w:rsid w:val="001E117E"/>
    <w:rsid w:val="001E11CC"/>
    <w:rsid w:val="001E18B3"/>
    <w:rsid w:val="001E1917"/>
    <w:rsid w:val="001E3182"/>
    <w:rsid w:val="001E3DFD"/>
    <w:rsid w:val="001E5190"/>
    <w:rsid w:val="001E5E56"/>
    <w:rsid w:val="001E5F46"/>
    <w:rsid w:val="001E75CB"/>
    <w:rsid w:val="001F0F17"/>
    <w:rsid w:val="001F1BE5"/>
    <w:rsid w:val="001F1FE8"/>
    <w:rsid w:val="001F3347"/>
    <w:rsid w:val="001F3F65"/>
    <w:rsid w:val="001F5752"/>
    <w:rsid w:val="001F5D15"/>
    <w:rsid w:val="001F5DA3"/>
    <w:rsid w:val="001F69E4"/>
    <w:rsid w:val="0020209C"/>
    <w:rsid w:val="00204296"/>
    <w:rsid w:val="00207023"/>
    <w:rsid w:val="00211870"/>
    <w:rsid w:val="00211ED4"/>
    <w:rsid w:val="002125B4"/>
    <w:rsid w:val="00212849"/>
    <w:rsid w:val="002130BF"/>
    <w:rsid w:val="00213CB9"/>
    <w:rsid w:val="00215509"/>
    <w:rsid w:val="002155B8"/>
    <w:rsid w:val="002176A5"/>
    <w:rsid w:val="0022113E"/>
    <w:rsid w:val="00221F6D"/>
    <w:rsid w:val="00224423"/>
    <w:rsid w:val="00224839"/>
    <w:rsid w:val="002249B2"/>
    <w:rsid w:val="00225372"/>
    <w:rsid w:val="00225FC2"/>
    <w:rsid w:val="00226574"/>
    <w:rsid w:val="0022760C"/>
    <w:rsid w:val="002278EC"/>
    <w:rsid w:val="00227BEA"/>
    <w:rsid w:val="002327F7"/>
    <w:rsid w:val="0023280E"/>
    <w:rsid w:val="00233EF7"/>
    <w:rsid w:val="00235D9D"/>
    <w:rsid w:val="002377D1"/>
    <w:rsid w:val="00237D68"/>
    <w:rsid w:val="002408CA"/>
    <w:rsid w:val="00242542"/>
    <w:rsid w:val="002426D5"/>
    <w:rsid w:val="00243F24"/>
    <w:rsid w:val="002442BA"/>
    <w:rsid w:val="00244B47"/>
    <w:rsid w:val="00246232"/>
    <w:rsid w:val="0024676A"/>
    <w:rsid w:val="002500BF"/>
    <w:rsid w:val="002506BC"/>
    <w:rsid w:val="00251190"/>
    <w:rsid w:val="002513B1"/>
    <w:rsid w:val="00253267"/>
    <w:rsid w:val="0025411B"/>
    <w:rsid w:val="00254345"/>
    <w:rsid w:val="0025488D"/>
    <w:rsid w:val="0025501D"/>
    <w:rsid w:val="00255020"/>
    <w:rsid w:val="00255A26"/>
    <w:rsid w:val="00255ED3"/>
    <w:rsid w:val="002566FA"/>
    <w:rsid w:val="002568CA"/>
    <w:rsid w:val="00257617"/>
    <w:rsid w:val="00257951"/>
    <w:rsid w:val="00261615"/>
    <w:rsid w:val="00261AD5"/>
    <w:rsid w:val="00264557"/>
    <w:rsid w:val="00264F00"/>
    <w:rsid w:val="002672E9"/>
    <w:rsid w:val="002701B4"/>
    <w:rsid w:val="0027085E"/>
    <w:rsid w:val="00270CF9"/>
    <w:rsid w:val="00271699"/>
    <w:rsid w:val="002719D0"/>
    <w:rsid w:val="0027253F"/>
    <w:rsid w:val="002734DF"/>
    <w:rsid w:val="00273BFB"/>
    <w:rsid w:val="00273C91"/>
    <w:rsid w:val="002755CC"/>
    <w:rsid w:val="002805AB"/>
    <w:rsid w:val="002807E2"/>
    <w:rsid w:val="00280812"/>
    <w:rsid w:val="00280C05"/>
    <w:rsid w:val="002812F7"/>
    <w:rsid w:val="00282AD4"/>
    <w:rsid w:val="00284204"/>
    <w:rsid w:val="00287789"/>
    <w:rsid w:val="00287AD4"/>
    <w:rsid w:val="002905FF"/>
    <w:rsid w:val="0029076A"/>
    <w:rsid w:val="002910D6"/>
    <w:rsid w:val="00291773"/>
    <w:rsid w:val="00292D96"/>
    <w:rsid w:val="00294E0A"/>
    <w:rsid w:val="00297CFE"/>
    <w:rsid w:val="002A00D8"/>
    <w:rsid w:val="002A03B5"/>
    <w:rsid w:val="002A09DE"/>
    <w:rsid w:val="002A0AD9"/>
    <w:rsid w:val="002A15DB"/>
    <w:rsid w:val="002A168C"/>
    <w:rsid w:val="002A358A"/>
    <w:rsid w:val="002A3B9B"/>
    <w:rsid w:val="002A3DC7"/>
    <w:rsid w:val="002A47F3"/>
    <w:rsid w:val="002A4E14"/>
    <w:rsid w:val="002A5DB9"/>
    <w:rsid w:val="002A76FB"/>
    <w:rsid w:val="002B1A6A"/>
    <w:rsid w:val="002B1CD3"/>
    <w:rsid w:val="002B49E2"/>
    <w:rsid w:val="002B4F2D"/>
    <w:rsid w:val="002B6305"/>
    <w:rsid w:val="002B7B00"/>
    <w:rsid w:val="002B7C44"/>
    <w:rsid w:val="002B7E36"/>
    <w:rsid w:val="002C1B96"/>
    <w:rsid w:val="002C2B17"/>
    <w:rsid w:val="002C2B9A"/>
    <w:rsid w:val="002C3230"/>
    <w:rsid w:val="002C59C4"/>
    <w:rsid w:val="002C625F"/>
    <w:rsid w:val="002D1828"/>
    <w:rsid w:val="002D1F91"/>
    <w:rsid w:val="002D2986"/>
    <w:rsid w:val="002D3341"/>
    <w:rsid w:val="002D3DD0"/>
    <w:rsid w:val="002D4018"/>
    <w:rsid w:val="002D67E4"/>
    <w:rsid w:val="002E0128"/>
    <w:rsid w:val="002E0B14"/>
    <w:rsid w:val="002E10E7"/>
    <w:rsid w:val="002E1F3A"/>
    <w:rsid w:val="002E2661"/>
    <w:rsid w:val="002E298A"/>
    <w:rsid w:val="002E2F50"/>
    <w:rsid w:val="002E3B91"/>
    <w:rsid w:val="002E446A"/>
    <w:rsid w:val="002E4B35"/>
    <w:rsid w:val="002E5E9D"/>
    <w:rsid w:val="002E6FDF"/>
    <w:rsid w:val="002F0708"/>
    <w:rsid w:val="002F15EC"/>
    <w:rsid w:val="002F24D8"/>
    <w:rsid w:val="002F38A7"/>
    <w:rsid w:val="002F5988"/>
    <w:rsid w:val="002F5EE2"/>
    <w:rsid w:val="002F66F3"/>
    <w:rsid w:val="00300038"/>
    <w:rsid w:val="00300436"/>
    <w:rsid w:val="003005D6"/>
    <w:rsid w:val="00300E0A"/>
    <w:rsid w:val="00301978"/>
    <w:rsid w:val="00302F2B"/>
    <w:rsid w:val="0030332C"/>
    <w:rsid w:val="003038AD"/>
    <w:rsid w:val="00303F14"/>
    <w:rsid w:val="0030506B"/>
    <w:rsid w:val="003051C2"/>
    <w:rsid w:val="00306943"/>
    <w:rsid w:val="003073D5"/>
    <w:rsid w:val="0031014A"/>
    <w:rsid w:val="00311FA1"/>
    <w:rsid w:val="00312296"/>
    <w:rsid w:val="003135B4"/>
    <w:rsid w:val="003149B0"/>
    <w:rsid w:val="00314F0E"/>
    <w:rsid w:val="00315714"/>
    <w:rsid w:val="00315DAD"/>
    <w:rsid w:val="003166B2"/>
    <w:rsid w:val="00321D8E"/>
    <w:rsid w:val="00324747"/>
    <w:rsid w:val="00325928"/>
    <w:rsid w:val="00326F94"/>
    <w:rsid w:val="00327C98"/>
    <w:rsid w:val="00330218"/>
    <w:rsid w:val="003303BB"/>
    <w:rsid w:val="00330721"/>
    <w:rsid w:val="00330A35"/>
    <w:rsid w:val="00330F9E"/>
    <w:rsid w:val="003311A7"/>
    <w:rsid w:val="00332863"/>
    <w:rsid w:val="00332CEF"/>
    <w:rsid w:val="00332D10"/>
    <w:rsid w:val="00334983"/>
    <w:rsid w:val="0033560F"/>
    <w:rsid w:val="00335687"/>
    <w:rsid w:val="0033684D"/>
    <w:rsid w:val="00336D51"/>
    <w:rsid w:val="00337B42"/>
    <w:rsid w:val="00340DEB"/>
    <w:rsid w:val="00341B42"/>
    <w:rsid w:val="00341CA4"/>
    <w:rsid w:val="00341E88"/>
    <w:rsid w:val="003424CD"/>
    <w:rsid w:val="0034348F"/>
    <w:rsid w:val="00344166"/>
    <w:rsid w:val="003458DD"/>
    <w:rsid w:val="00346FCF"/>
    <w:rsid w:val="00347180"/>
    <w:rsid w:val="00351B89"/>
    <w:rsid w:val="0035258B"/>
    <w:rsid w:val="00353B6B"/>
    <w:rsid w:val="00355683"/>
    <w:rsid w:val="003557CB"/>
    <w:rsid w:val="00355C83"/>
    <w:rsid w:val="00356653"/>
    <w:rsid w:val="0035743F"/>
    <w:rsid w:val="0035745C"/>
    <w:rsid w:val="00357BE2"/>
    <w:rsid w:val="00360231"/>
    <w:rsid w:val="00360756"/>
    <w:rsid w:val="0036170C"/>
    <w:rsid w:val="00361A30"/>
    <w:rsid w:val="00365598"/>
    <w:rsid w:val="0036568E"/>
    <w:rsid w:val="00366E0F"/>
    <w:rsid w:val="00366F27"/>
    <w:rsid w:val="00367579"/>
    <w:rsid w:val="0037004C"/>
    <w:rsid w:val="003703DC"/>
    <w:rsid w:val="003724BA"/>
    <w:rsid w:val="003730B4"/>
    <w:rsid w:val="00375BCE"/>
    <w:rsid w:val="0037618F"/>
    <w:rsid w:val="003773A5"/>
    <w:rsid w:val="0037775A"/>
    <w:rsid w:val="00377CBC"/>
    <w:rsid w:val="00380E1E"/>
    <w:rsid w:val="00381020"/>
    <w:rsid w:val="003813C4"/>
    <w:rsid w:val="003818FB"/>
    <w:rsid w:val="00381A72"/>
    <w:rsid w:val="003828B5"/>
    <w:rsid w:val="003839ED"/>
    <w:rsid w:val="00384676"/>
    <w:rsid w:val="00385D22"/>
    <w:rsid w:val="00387658"/>
    <w:rsid w:val="00387761"/>
    <w:rsid w:val="00387B9A"/>
    <w:rsid w:val="00390278"/>
    <w:rsid w:val="00390857"/>
    <w:rsid w:val="00390C71"/>
    <w:rsid w:val="00390EF0"/>
    <w:rsid w:val="00391241"/>
    <w:rsid w:val="00394352"/>
    <w:rsid w:val="0039446B"/>
    <w:rsid w:val="003954BF"/>
    <w:rsid w:val="00395936"/>
    <w:rsid w:val="00397742"/>
    <w:rsid w:val="00397AC6"/>
    <w:rsid w:val="003A0352"/>
    <w:rsid w:val="003A113E"/>
    <w:rsid w:val="003A1467"/>
    <w:rsid w:val="003A17BE"/>
    <w:rsid w:val="003A2248"/>
    <w:rsid w:val="003A3109"/>
    <w:rsid w:val="003A43FB"/>
    <w:rsid w:val="003A4BF3"/>
    <w:rsid w:val="003A53D5"/>
    <w:rsid w:val="003A5EEE"/>
    <w:rsid w:val="003B085F"/>
    <w:rsid w:val="003B0F1C"/>
    <w:rsid w:val="003B1733"/>
    <w:rsid w:val="003B36EE"/>
    <w:rsid w:val="003B420D"/>
    <w:rsid w:val="003B55B3"/>
    <w:rsid w:val="003B590C"/>
    <w:rsid w:val="003B70B8"/>
    <w:rsid w:val="003C0948"/>
    <w:rsid w:val="003C13F9"/>
    <w:rsid w:val="003C1F87"/>
    <w:rsid w:val="003C2506"/>
    <w:rsid w:val="003C3296"/>
    <w:rsid w:val="003C4C23"/>
    <w:rsid w:val="003C53F8"/>
    <w:rsid w:val="003C5740"/>
    <w:rsid w:val="003C5AAD"/>
    <w:rsid w:val="003C6C16"/>
    <w:rsid w:val="003D0EEA"/>
    <w:rsid w:val="003D21B2"/>
    <w:rsid w:val="003D2AE8"/>
    <w:rsid w:val="003D2E57"/>
    <w:rsid w:val="003D4087"/>
    <w:rsid w:val="003D6572"/>
    <w:rsid w:val="003D6F54"/>
    <w:rsid w:val="003D794D"/>
    <w:rsid w:val="003E0E8B"/>
    <w:rsid w:val="003E11C3"/>
    <w:rsid w:val="003E12A4"/>
    <w:rsid w:val="003E3058"/>
    <w:rsid w:val="003E3D28"/>
    <w:rsid w:val="003E471D"/>
    <w:rsid w:val="003E4D35"/>
    <w:rsid w:val="003E6E36"/>
    <w:rsid w:val="003E76A9"/>
    <w:rsid w:val="003F0809"/>
    <w:rsid w:val="003F09DE"/>
    <w:rsid w:val="003F1F0A"/>
    <w:rsid w:val="003F1F35"/>
    <w:rsid w:val="003F49AB"/>
    <w:rsid w:val="003F6252"/>
    <w:rsid w:val="003F654B"/>
    <w:rsid w:val="003F6A8C"/>
    <w:rsid w:val="003F6DC5"/>
    <w:rsid w:val="003F755C"/>
    <w:rsid w:val="003F7E3E"/>
    <w:rsid w:val="00402F9D"/>
    <w:rsid w:val="004045D8"/>
    <w:rsid w:val="00406F01"/>
    <w:rsid w:val="004072D4"/>
    <w:rsid w:val="0040795E"/>
    <w:rsid w:val="00407CAF"/>
    <w:rsid w:val="0041016F"/>
    <w:rsid w:val="00410668"/>
    <w:rsid w:val="0041127B"/>
    <w:rsid w:val="00412608"/>
    <w:rsid w:val="00412DC4"/>
    <w:rsid w:val="00412DF0"/>
    <w:rsid w:val="00412E67"/>
    <w:rsid w:val="00412F24"/>
    <w:rsid w:val="00413894"/>
    <w:rsid w:val="00413D39"/>
    <w:rsid w:val="00416D50"/>
    <w:rsid w:val="00416FD5"/>
    <w:rsid w:val="00417371"/>
    <w:rsid w:val="00417583"/>
    <w:rsid w:val="00417772"/>
    <w:rsid w:val="00417A84"/>
    <w:rsid w:val="00420E6A"/>
    <w:rsid w:val="004226CD"/>
    <w:rsid w:val="0042330B"/>
    <w:rsid w:val="00423971"/>
    <w:rsid w:val="0042400D"/>
    <w:rsid w:val="004246DC"/>
    <w:rsid w:val="0042551A"/>
    <w:rsid w:val="00425A9E"/>
    <w:rsid w:val="00425E76"/>
    <w:rsid w:val="0042646F"/>
    <w:rsid w:val="00426D6B"/>
    <w:rsid w:val="00430EA1"/>
    <w:rsid w:val="00431E6C"/>
    <w:rsid w:val="00433CE7"/>
    <w:rsid w:val="00434872"/>
    <w:rsid w:val="00436B53"/>
    <w:rsid w:val="00436DBD"/>
    <w:rsid w:val="0044125A"/>
    <w:rsid w:val="004412BF"/>
    <w:rsid w:val="004425C6"/>
    <w:rsid w:val="00443969"/>
    <w:rsid w:val="00444064"/>
    <w:rsid w:val="00445EB0"/>
    <w:rsid w:val="00447D73"/>
    <w:rsid w:val="00451723"/>
    <w:rsid w:val="004524D2"/>
    <w:rsid w:val="00452738"/>
    <w:rsid w:val="00452B04"/>
    <w:rsid w:val="00453EC9"/>
    <w:rsid w:val="004540BC"/>
    <w:rsid w:val="0045473C"/>
    <w:rsid w:val="00455376"/>
    <w:rsid w:val="00455BC0"/>
    <w:rsid w:val="00456091"/>
    <w:rsid w:val="004569A3"/>
    <w:rsid w:val="00456D27"/>
    <w:rsid w:val="00460408"/>
    <w:rsid w:val="004605E1"/>
    <w:rsid w:val="004615B2"/>
    <w:rsid w:val="004623AB"/>
    <w:rsid w:val="00463307"/>
    <w:rsid w:val="00464485"/>
    <w:rsid w:val="00464A9F"/>
    <w:rsid w:val="004653E6"/>
    <w:rsid w:val="00465659"/>
    <w:rsid w:val="004656A5"/>
    <w:rsid w:val="00466321"/>
    <w:rsid w:val="00471534"/>
    <w:rsid w:val="00474712"/>
    <w:rsid w:val="00474FF6"/>
    <w:rsid w:val="004774EB"/>
    <w:rsid w:val="00477BF4"/>
    <w:rsid w:val="004802BF"/>
    <w:rsid w:val="00480F7F"/>
    <w:rsid w:val="00481907"/>
    <w:rsid w:val="00482457"/>
    <w:rsid w:val="00483A77"/>
    <w:rsid w:val="00483D58"/>
    <w:rsid w:val="00484B9B"/>
    <w:rsid w:val="00485333"/>
    <w:rsid w:val="004855F6"/>
    <w:rsid w:val="0048661E"/>
    <w:rsid w:val="0048729B"/>
    <w:rsid w:val="0049005D"/>
    <w:rsid w:val="00491B60"/>
    <w:rsid w:val="00492BA1"/>
    <w:rsid w:val="00494670"/>
    <w:rsid w:val="00495502"/>
    <w:rsid w:val="00496313"/>
    <w:rsid w:val="00496D62"/>
    <w:rsid w:val="0049703D"/>
    <w:rsid w:val="004A00FC"/>
    <w:rsid w:val="004A01F6"/>
    <w:rsid w:val="004A05B0"/>
    <w:rsid w:val="004A17F1"/>
    <w:rsid w:val="004A32C1"/>
    <w:rsid w:val="004A3823"/>
    <w:rsid w:val="004A4E21"/>
    <w:rsid w:val="004A5E92"/>
    <w:rsid w:val="004A6B25"/>
    <w:rsid w:val="004A7302"/>
    <w:rsid w:val="004B0C9E"/>
    <w:rsid w:val="004B189E"/>
    <w:rsid w:val="004B345E"/>
    <w:rsid w:val="004C04A4"/>
    <w:rsid w:val="004C21A6"/>
    <w:rsid w:val="004C2249"/>
    <w:rsid w:val="004C3EBC"/>
    <w:rsid w:val="004C4ADD"/>
    <w:rsid w:val="004C533F"/>
    <w:rsid w:val="004C55B7"/>
    <w:rsid w:val="004C5E1C"/>
    <w:rsid w:val="004C61F2"/>
    <w:rsid w:val="004C6B27"/>
    <w:rsid w:val="004D007B"/>
    <w:rsid w:val="004D0CDA"/>
    <w:rsid w:val="004D150A"/>
    <w:rsid w:val="004D16C6"/>
    <w:rsid w:val="004D1B5D"/>
    <w:rsid w:val="004D22AA"/>
    <w:rsid w:val="004D2595"/>
    <w:rsid w:val="004D25E7"/>
    <w:rsid w:val="004D538D"/>
    <w:rsid w:val="004D7118"/>
    <w:rsid w:val="004E2F1E"/>
    <w:rsid w:val="004E32B5"/>
    <w:rsid w:val="004E64C3"/>
    <w:rsid w:val="004E6610"/>
    <w:rsid w:val="004E6946"/>
    <w:rsid w:val="004E771F"/>
    <w:rsid w:val="004F06D5"/>
    <w:rsid w:val="004F101A"/>
    <w:rsid w:val="004F12A6"/>
    <w:rsid w:val="004F1AD8"/>
    <w:rsid w:val="004F2C14"/>
    <w:rsid w:val="004F7279"/>
    <w:rsid w:val="004F7CBD"/>
    <w:rsid w:val="00502956"/>
    <w:rsid w:val="005039CB"/>
    <w:rsid w:val="0050558F"/>
    <w:rsid w:val="00506286"/>
    <w:rsid w:val="00507B98"/>
    <w:rsid w:val="0051076B"/>
    <w:rsid w:val="00510813"/>
    <w:rsid w:val="00511763"/>
    <w:rsid w:val="00511990"/>
    <w:rsid w:val="00511AA7"/>
    <w:rsid w:val="00511DE0"/>
    <w:rsid w:val="00514858"/>
    <w:rsid w:val="00514870"/>
    <w:rsid w:val="00514B9B"/>
    <w:rsid w:val="00515C94"/>
    <w:rsid w:val="00516511"/>
    <w:rsid w:val="00517F02"/>
    <w:rsid w:val="0052038E"/>
    <w:rsid w:val="005204B1"/>
    <w:rsid w:val="005235D5"/>
    <w:rsid w:val="00524303"/>
    <w:rsid w:val="00524D3E"/>
    <w:rsid w:val="00524F74"/>
    <w:rsid w:val="005258A2"/>
    <w:rsid w:val="00531E12"/>
    <w:rsid w:val="005325BB"/>
    <w:rsid w:val="00532B23"/>
    <w:rsid w:val="005335E8"/>
    <w:rsid w:val="005343E2"/>
    <w:rsid w:val="0053535D"/>
    <w:rsid w:val="00535FA2"/>
    <w:rsid w:val="005368EC"/>
    <w:rsid w:val="00537731"/>
    <w:rsid w:val="00537F03"/>
    <w:rsid w:val="005401AE"/>
    <w:rsid w:val="00540592"/>
    <w:rsid w:val="0054108B"/>
    <w:rsid w:val="00542E07"/>
    <w:rsid w:val="00545424"/>
    <w:rsid w:val="005455F2"/>
    <w:rsid w:val="00545EFB"/>
    <w:rsid w:val="0054607F"/>
    <w:rsid w:val="00547250"/>
    <w:rsid w:val="00550739"/>
    <w:rsid w:val="00551B51"/>
    <w:rsid w:val="0055221B"/>
    <w:rsid w:val="00553282"/>
    <w:rsid w:val="005534B9"/>
    <w:rsid w:val="00553E9F"/>
    <w:rsid w:val="005540E5"/>
    <w:rsid w:val="005542D2"/>
    <w:rsid w:val="005548BF"/>
    <w:rsid w:val="00554A7B"/>
    <w:rsid w:val="0055572C"/>
    <w:rsid w:val="005570A9"/>
    <w:rsid w:val="0055765F"/>
    <w:rsid w:val="00560DC9"/>
    <w:rsid w:val="0056106A"/>
    <w:rsid w:val="00562E60"/>
    <w:rsid w:val="00564102"/>
    <w:rsid w:val="0056538B"/>
    <w:rsid w:val="0056565B"/>
    <w:rsid w:val="005671E9"/>
    <w:rsid w:val="005676F0"/>
    <w:rsid w:val="005678D2"/>
    <w:rsid w:val="005713C4"/>
    <w:rsid w:val="005715AF"/>
    <w:rsid w:val="005720AE"/>
    <w:rsid w:val="0057491E"/>
    <w:rsid w:val="00575564"/>
    <w:rsid w:val="00575E71"/>
    <w:rsid w:val="0057649D"/>
    <w:rsid w:val="00576B15"/>
    <w:rsid w:val="00577607"/>
    <w:rsid w:val="00577614"/>
    <w:rsid w:val="005779C6"/>
    <w:rsid w:val="00577E96"/>
    <w:rsid w:val="00580A4F"/>
    <w:rsid w:val="00580CBF"/>
    <w:rsid w:val="00581272"/>
    <w:rsid w:val="005813C5"/>
    <w:rsid w:val="00582024"/>
    <w:rsid w:val="005836B0"/>
    <w:rsid w:val="00583C4C"/>
    <w:rsid w:val="00583F3F"/>
    <w:rsid w:val="005844F8"/>
    <w:rsid w:val="00584B33"/>
    <w:rsid w:val="00584DC0"/>
    <w:rsid w:val="00584EBB"/>
    <w:rsid w:val="00590428"/>
    <w:rsid w:val="00590ABD"/>
    <w:rsid w:val="00591D08"/>
    <w:rsid w:val="005936F8"/>
    <w:rsid w:val="00594695"/>
    <w:rsid w:val="005946AB"/>
    <w:rsid w:val="00594D77"/>
    <w:rsid w:val="00595768"/>
    <w:rsid w:val="005969E4"/>
    <w:rsid w:val="005A06B7"/>
    <w:rsid w:val="005A15C4"/>
    <w:rsid w:val="005A1759"/>
    <w:rsid w:val="005A1F0D"/>
    <w:rsid w:val="005A2BEE"/>
    <w:rsid w:val="005A5508"/>
    <w:rsid w:val="005A58FE"/>
    <w:rsid w:val="005A61F6"/>
    <w:rsid w:val="005A68A7"/>
    <w:rsid w:val="005A6B7D"/>
    <w:rsid w:val="005A7121"/>
    <w:rsid w:val="005A78B2"/>
    <w:rsid w:val="005B1A6D"/>
    <w:rsid w:val="005B3014"/>
    <w:rsid w:val="005B3F12"/>
    <w:rsid w:val="005B6CA6"/>
    <w:rsid w:val="005B76A2"/>
    <w:rsid w:val="005B7B4C"/>
    <w:rsid w:val="005C01A5"/>
    <w:rsid w:val="005C29D2"/>
    <w:rsid w:val="005C3529"/>
    <w:rsid w:val="005C54A2"/>
    <w:rsid w:val="005C5E4D"/>
    <w:rsid w:val="005C5EC5"/>
    <w:rsid w:val="005C5EFE"/>
    <w:rsid w:val="005C664F"/>
    <w:rsid w:val="005C7B38"/>
    <w:rsid w:val="005D1B76"/>
    <w:rsid w:val="005D24AA"/>
    <w:rsid w:val="005D36AB"/>
    <w:rsid w:val="005D511F"/>
    <w:rsid w:val="005D58D3"/>
    <w:rsid w:val="005D594A"/>
    <w:rsid w:val="005D6B25"/>
    <w:rsid w:val="005E0942"/>
    <w:rsid w:val="005E2127"/>
    <w:rsid w:val="005E4695"/>
    <w:rsid w:val="005E7786"/>
    <w:rsid w:val="005F0DE7"/>
    <w:rsid w:val="005F1317"/>
    <w:rsid w:val="005F136F"/>
    <w:rsid w:val="005F34B2"/>
    <w:rsid w:val="005F38C2"/>
    <w:rsid w:val="005F3B0B"/>
    <w:rsid w:val="005F3D6B"/>
    <w:rsid w:val="005F4B79"/>
    <w:rsid w:val="005F6B12"/>
    <w:rsid w:val="005F6F8F"/>
    <w:rsid w:val="005F7914"/>
    <w:rsid w:val="00601430"/>
    <w:rsid w:val="006024E3"/>
    <w:rsid w:val="00602888"/>
    <w:rsid w:val="00602B8F"/>
    <w:rsid w:val="00603E37"/>
    <w:rsid w:val="00605209"/>
    <w:rsid w:val="0060562C"/>
    <w:rsid w:val="00605B00"/>
    <w:rsid w:val="00606688"/>
    <w:rsid w:val="006074FF"/>
    <w:rsid w:val="0060781D"/>
    <w:rsid w:val="00607923"/>
    <w:rsid w:val="00607D6E"/>
    <w:rsid w:val="00607E9F"/>
    <w:rsid w:val="00610663"/>
    <w:rsid w:val="006121E5"/>
    <w:rsid w:val="00615F10"/>
    <w:rsid w:val="00616C4F"/>
    <w:rsid w:val="00617253"/>
    <w:rsid w:val="00617CC3"/>
    <w:rsid w:val="0062106C"/>
    <w:rsid w:val="00622D4D"/>
    <w:rsid w:val="00624A40"/>
    <w:rsid w:val="006254EA"/>
    <w:rsid w:val="00625521"/>
    <w:rsid w:val="00626D26"/>
    <w:rsid w:val="00627208"/>
    <w:rsid w:val="00631B4C"/>
    <w:rsid w:val="006330AA"/>
    <w:rsid w:val="006346A6"/>
    <w:rsid w:val="00634AFF"/>
    <w:rsid w:val="006375B9"/>
    <w:rsid w:val="00637620"/>
    <w:rsid w:val="006377A6"/>
    <w:rsid w:val="00637A3D"/>
    <w:rsid w:val="006411EF"/>
    <w:rsid w:val="00641AD3"/>
    <w:rsid w:val="00643C4F"/>
    <w:rsid w:val="00645661"/>
    <w:rsid w:val="00646EB4"/>
    <w:rsid w:val="00646FAF"/>
    <w:rsid w:val="00647071"/>
    <w:rsid w:val="00647F7F"/>
    <w:rsid w:val="006552C3"/>
    <w:rsid w:val="0065794E"/>
    <w:rsid w:val="00660A19"/>
    <w:rsid w:val="00662BA3"/>
    <w:rsid w:val="00663190"/>
    <w:rsid w:val="00663BCF"/>
    <w:rsid w:val="00665871"/>
    <w:rsid w:val="00665909"/>
    <w:rsid w:val="006659E6"/>
    <w:rsid w:val="00666486"/>
    <w:rsid w:val="00667AEE"/>
    <w:rsid w:val="00667DDC"/>
    <w:rsid w:val="0067034B"/>
    <w:rsid w:val="00670435"/>
    <w:rsid w:val="0067364E"/>
    <w:rsid w:val="006748B8"/>
    <w:rsid w:val="0067551F"/>
    <w:rsid w:val="0067592E"/>
    <w:rsid w:val="00675F76"/>
    <w:rsid w:val="0067673C"/>
    <w:rsid w:val="006775C3"/>
    <w:rsid w:val="006806B3"/>
    <w:rsid w:val="00682002"/>
    <w:rsid w:val="006824A7"/>
    <w:rsid w:val="00682D1C"/>
    <w:rsid w:val="00683739"/>
    <w:rsid w:val="006839DC"/>
    <w:rsid w:val="0068438C"/>
    <w:rsid w:val="00684A4B"/>
    <w:rsid w:val="006863C4"/>
    <w:rsid w:val="00687B94"/>
    <w:rsid w:val="00690A6B"/>
    <w:rsid w:val="00691932"/>
    <w:rsid w:val="006919D8"/>
    <w:rsid w:val="0069290A"/>
    <w:rsid w:val="00693412"/>
    <w:rsid w:val="00693959"/>
    <w:rsid w:val="00693D22"/>
    <w:rsid w:val="006947DD"/>
    <w:rsid w:val="006947F2"/>
    <w:rsid w:val="006959EC"/>
    <w:rsid w:val="00695E67"/>
    <w:rsid w:val="0069775A"/>
    <w:rsid w:val="00697813"/>
    <w:rsid w:val="006A08CE"/>
    <w:rsid w:val="006A2183"/>
    <w:rsid w:val="006A35A5"/>
    <w:rsid w:val="006A3BB0"/>
    <w:rsid w:val="006A3E78"/>
    <w:rsid w:val="006A3EE8"/>
    <w:rsid w:val="006A5A02"/>
    <w:rsid w:val="006A72BF"/>
    <w:rsid w:val="006A744F"/>
    <w:rsid w:val="006B01F0"/>
    <w:rsid w:val="006B03F2"/>
    <w:rsid w:val="006B21D5"/>
    <w:rsid w:val="006B28A1"/>
    <w:rsid w:val="006B37DC"/>
    <w:rsid w:val="006B410D"/>
    <w:rsid w:val="006B44F7"/>
    <w:rsid w:val="006B462D"/>
    <w:rsid w:val="006B4F68"/>
    <w:rsid w:val="006B5AF6"/>
    <w:rsid w:val="006C0592"/>
    <w:rsid w:val="006C0A0F"/>
    <w:rsid w:val="006C0DCB"/>
    <w:rsid w:val="006C1637"/>
    <w:rsid w:val="006C272E"/>
    <w:rsid w:val="006C4834"/>
    <w:rsid w:val="006C4B12"/>
    <w:rsid w:val="006C5276"/>
    <w:rsid w:val="006C5479"/>
    <w:rsid w:val="006C64BE"/>
    <w:rsid w:val="006C6C75"/>
    <w:rsid w:val="006D0C83"/>
    <w:rsid w:val="006D0E85"/>
    <w:rsid w:val="006D13B5"/>
    <w:rsid w:val="006D20A1"/>
    <w:rsid w:val="006D27F1"/>
    <w:rsid w:val="006D36E9"/>
    <w:rsid w:val="006D4EAF"/>
    <w:rsid w:val="006D5523"/>
    <w:rsid w:val="006D5C51"/>
    <w:rsid w:val="006D5DD5"/>
    <w:rsid w:val="006D6FA4"/>
    <w:rsid w:val="006D787A"/>
    <w:rsid w:val="006E12D9"/>
    <w:rsid w:val="006E12FF"/>
    <w:rsid w:val="006E40C1"/>
    <w:rsid w:val="006E5ADD"/>
    <w:rsid w:val="006E607E"/>
    <w:rsid w:val="006E6896"/>
    <w:rsid w:val="006E6C1A"/>
    <w:rsid w:val="006E6DDD"/>
    <w:rsid w:val="006E7795"/>
    <w:rsid w:val="006F135B"/>
    <w:rsid w:val="006F1613"/>
    <w:rsid w:val="006F1F6D"/>
    <w:rsid w:val="006F3BEA"/>
    <w:rsid w:val="006F453E"/>
    <w:rsid w:val="006F5266"/>
    <w:rsid w:val="006F7759"/>
    <w:rsid w:val="007003D5"/>
    <w:rsid w:val="007004FB"/>
    <w:rsid w:val="007010B2"/>
    <w:rsid w:val="00701B61"/>
    <w:rsid w:val="00703013"/>
    <w:rsid w:val="007049B5"/>
    <w:rsid w:val="00704B34"/>
    <w:rsid w:val="00705041"/>
    <w:rsid w:val="00706C5D"/>
    <w:rsid w:val="00712A9C"/>
    <w:rsid w:val="00712EC0"/>
    <w:rsid w:val="0071361E"/>
    <w:rsid w:val="007152E4"/>
    <w:rsid w:val="0071572D"/>
    <w:rsid w:val="00715ED8"/>
    <w:rsid w:val="00716435"/>
    <w:rsid w:val="0071674F"/>
    <w:rsid w:val="00717013"/>
    <w:rsid w:val="00725BEF"/>
    <w:rsid w:val="00730397"/>
    <w:rsid w:val="00730ADC"/>
    <w:rsid w:val="00730D38"/>
    <w:rsid w:val="007312D3"/>
    <w:rsid w:val="00732922"/>
    <w:rsid w:val="007368DD"/>
    <w:rsid w:val="00740259"/>
    <w:rsid w:val="00741CE4"/>
    <w:rsid w:val="0074528E"/>
    <w:rsid w:val="00747F27"/>
    <w:rsid w:val="007508B5"/>
    <w:rsid w:val="0075162E"/>
    <w:rsid w:val="00752533"/>
    <w:rsid w:val="00754034"/>
    <w:rsid w:val="0075559B"/>
    <w:rsid w:val="007557CE"/>
    <w:rsid w:val="00756338"/>
    <w:rsid w:val="00756556"/>
    <w:rsid w:val="00757845"/>
    <w:rsid w:val="00757FEE"/>
    <w:rsid w:val="007618C4"/>
    <w:rsid w:val="007619FD"/>
    <w:rsid w:val="007626E4"/>
    <w:rsid w:val="00762B10"/>
    <w:rsid w:val="00763B52"/>
    <w:rsid w:val="00763E6B"/>
    <w:rsid w:val="00764687"/>
    <w:rsid w:val="00764D07"/>
    <w:rsid w:val="007650A4"/>
    <w:rsid w:val="00766172"/>
    <w:rsid w:val="00767980"/>
    <w:rsid w:val="00767A20"/>
    <w:rsid w:val="00770B03"/>
    <w:rsid w:val="00770B19"/>
    <w:rsid w:val="00770B70"/>
    <w:rsid w:val="00771B68"/>
    <w:rsid w:val="007723C8"/>
    <w:rsid w:val="00773286"/>
    <w:rsid w:val="00773553"/>
    <w:rsid w:val="0077463F"/>
    <w:rsid w:val="00775D51"/>
    <w:rsid w:val="007762DE"/>
    <w:rsid w:val="00776A90"/>
    <w:rsid w:val="00776AA5"/>
    <w:rsid w:val="0078148E"/>
    <w:rsid w:val="00781A5F"/>
    <w:rsid w:val="00781C3C"/>
    <w:rsid w:val="007826D5"/>
    <w:rsid w:val="007834E7"/>
    <w:rsid w:val="007836EA"/>
    <w:rsid w:val="00783DAA"/>
    <w:rsid w:val="00784CDA"/>
    <w:rsid w:val="00786385"/>
    <w:rsid w:val="0078660E"/>
    <w:rsid w:val="007906C4"/>
    <w:rsid w:val="00791388"/>
    <w:rsid w:val="0079202F"/>
    <w:rsid w:val="00793C51"/>
    <w:rsid w:val="007940EA"/>
    <w:rsid w:val="007967E8"/>
    <w:rsid w:val="0079691D"/>
    <w:rsid w:val="00797D0E"/>
    <w:rsid w:val="007A0080"/>
    <w:rsid w:val="007A2170"/>
    <w:rsid w:val="007A22BF"/>
    <w:rsid w:val="007A3323"/>
    <w:rsid w:val="007A387E"/>
    <w:rsid w:val="007A3D0D"/>
    <w:rsid w:val="007A4DC4"/>
    <w:rsid w:val="007A6AE2"/>
    <w:rsid w:val="007A6B19"/>
    <w:rsid w:val="007A71CD"/>
    <w:rsid w:val="007A75C6"/>
    <w:rsid w:val="007B16E2"/>
    <w:rsid w:val="007B17C4"/>
    <w:rsid w:val="007B3251"/>
    <w:rsid w:val="007B41A5"/>
    <w:rsid w:val="007B4EBA"/>
    <w:rsid w:val="007B5D82"/>
    <w:rsid w:val="007B72B8"/>
    <w:rsid w:val="007B738A"/>
    <w:rsid w:val="007B7688"/>
    <w:rsid w:val="007B771E"/>
    <w:rsid w:val="007B7868"/>
    <w:rsid w:val="007B7A58"/>
    <w:rsid w:val="007C0122"/>
    <w:rsid w:val="007C17C8"/>
    <w:rsid w:val="007C21B5"/>
    <w:rsid w:val="007C2270"/>
    <w:rsid w:val="007C29DD"/>
    <w:rsid w:val="007C33C3"/>
    <w:rsid w:val="007C448A"/>
    <w:rsid w:val="007C574C"/>
    <w:rsid w:val="007C5E57"/>
    <w:rsid w:val="007C6398"/>
    <w:rsid w:val="007C6747"/>
    <w:rsid w:val="007C71AB"/>
    <w:rsid w:val="007C7200"/>
    <w:rsid w:val="007C776D"/>
    <w:rsid w:val="007C7F80"/>
    <w:rsid w:val="007D04D0"/>
    <w:rsid w:val="007D04EB"/>
    <w:rsid w:val="007D0663"/>
    <w:rsid w:val="007D169B"/>
    <w:rsid w:val="007D1E7E"/>
    <w:rsid w:val="007D457D"/>
    <w:rsid w:val="007D493C"/>
    <w:rsid w:val="007D5DAD"/>
    <w:rsid w:val="007D655A"/>
    <w:rsid w:val="007D6E32"/>
    <w:rsid w:val="007D6FAA"/>
    <w:rsid w:val="007D7A33"/>
    <w:rsid w:val="007E0DFF"/>
    <w:rsid w:val="007E2938"/>
    <w:rsid w:val="007E2AE0"/>
    <w:rsid w:val="007E44BA"/>
    <w:rsid w:val="007E4BD2"/>
    <w:rsid w:val="007E630F"/>
    <w:rsid w:val="007E6A84"/>
    <w:rsid w:val="007E72DA"/>
    <w:rsid w:val="007F0F00"/>
    <w:rsid w:val="007F11AE"/>
    <w:rsid w:val="007F12DB"/>
    <w:rsid w:val="007F35C7"/>
    <w:rsid w:val="007F7562"/>
    <w:rsid w:val="0080050B"/>
    <w:rsid w:val="00801393"/>
    <w:rsid w:val="00801C99"/>
    <w:rsid w:val="00802274"/>
    <w:rsid w:val="00802F88"/>
    <w:rsid w:val="008053A3"/>
    <w:rsid w:val="00811792"/>
    <w:rsid w:val="00811FCF"/>
    <w:rsid w:val="0081293E"/>
    <w:rsid w:val="00813795"/>
    <w:rsid w:val="00813B78"/>
    <w:rsid w:val="00815465"/>
    <w:rsid w:val="00817056"/>
    <w:rsid w:val="0081721D"/>
    <w:rsid w:val="008172BA"/>
    <w:rsid w:val="008178E2"/>
    <w:rsid w:val="00817E9A"/>
    <w:rsid w:val="00820729"/>
    <w:rsid w:val="00821738"/>
    <w:rsid w:val="00821905"/>
    <w:rsid w:val="008220B5"/>
    <w:rsid w:val="00822F4E"/>
    <w:rsid w:val="00824945"/>
    <w:rsid w:val="00825157"/>
    <w:rsid w:val="00825AE7"/>
    <w:rsid w:val="00826DAF"/>
    <w:rsid w:val="00827526"/>
    <w:rsid w:val="008306BD"/>
    <w:rsid w:val="00830E9C"/>
    <w:rsid w:val="00830FD0"/>
    <w:rsid w:val="0083150E"/>
    <w:rsid w:val="00831A80"/>
    <w:rsid w:val="00833743"/>
    <w:rsid w:val="00833CFD"/>
    <w:rsid w:val="008340A4"/>
    <w:rsid w:val="008345AB"/>
    <w:rsid w:val="00835B4E"/>
    <w:rsid w:val="008360B9"/>
    <w:rsid w:val="00843D1E"/>
    <w:rsid w:val="008441C2"/>
    <w:rsid w:val="008448E3"/>
    <w:rsid w:val="0085009C"/>
    <w:rsid w:val="00850840"/>
    <w:rsid w:val="00850AF4"/>
    <w:rsid w:val="00850C93"/>
    <w:rsid w:val="008535D0"/>
    <w:rsid w:val="00853F00"/>
    <w:rsid w:val="008543D8"/>
    <w:rsid w:val="00856AEA"/>
    <w:rsid w:val="00857CF5"/>
    <w:rsid w:val="0086045C"/>
    <w:rsid w:val="00861FD4"/>
    <w:rsid w:val="00862412"/>
    <w:rsid w:val="00864B76"/>
    <w:rsid w:val="00864EFF"/>
    <w:rsid w:val="00866D2D"/>
    <w:rsid w:val="00871195"/>
    <w:rsid w:val="0087135F"/>
    <w:rsid w:val="00871FDD"/>
    <w:rsid w:val="00872B9E"/>
    <w:rsid w:val="00872D94"/>
    <w:rsid w:val="0087331A"/>
    <w:rsid w:val="008747AC"/>
    <w:rsid w:val="00877596"/>
    <w:rsid w:val="00880364"/>
    <w:rsid w:val="00880D6A"/>
    <w:rsid w:val="00882E5F"/>
    <w:rsid w:val="00884FA6"/>
    <w:rsid w:val="008851A8"/>
    <w:rsid w:val="00891167"/>
    <w:rsid w:val="00891592"/>
    <w:rsid w:val="0089189B"/>
    <w:rsid w:val="008918EB"/>
    <w:rsid w:val="00891A41"/>
    <w:rsid w:val="00891E9E"/>
    <w:rsid w:val="008925FC"/>
    <w:rsid w:val="008926C1"/>
    <w:rsid w:val="0089293A"/>
    <w:rsid w:val="00892A96"/>
    <w:rsid w:val="00893219"/>
    <w:rsid w:val="008973EA"/>
    <w:rsid w:val="0089753D"/>
    <w:rsid w:val="00897F22"/>
    <w:rsid w:val="008A2F68"/>
    <w:rsid w:val="008A4A80"/>
    <w:rsid w:val="008A4FAA"/>
    <w:rsid w:val="008A519A"/>
    <w:rsid w:val="008B092F"/>
    <w:rsid w:val="008B31E5"/>
    <w:rsid w:val="008B472C"/>
    <w:rsid w:val="008B4885"/>
    <w:rsid w:val="008B4FA6"/>
    <w:rsid w:val="008B5087"/>
    <w:rsid w:val="008B5282"/>
    <w:rsid w:val="008B67FE"/>
    <w:rsid w:val="008B6EFD"/>
    <w:rsid w:val="008B7C17"/>
    <w:rsid w:val="008C2B3F"/>
    <w:rsid w:val="008C2D01"/>
    <w:rsid w:val="008C3522"/>
    <w:rsid w:val="008C40E6"/>
    <w:rsid w:val="008C48DB"/>
    <w:rsid w:val="008C4FC1"/>
    <w:rsid w:val="008C7B61"/>
    <w:rsid w:val="008D0F7A"/>
    <w:rsid w:val="008D0FD5"/>
    <w:rsid w:val="008D1968"/>
    <w:rsid w:val="008D3B39"/>
    <w:rsid w:val="008D54DA"/>
    <w:rsid w:val="008D5D28"/>
    <w:rsid w:val="008D5EC4"/>
    <w:rsid w:val="008D68E4"/>
    <w:rsid w:val="008D6E72"/>
    <w:rsid w:val="008E048B"/>
    <w:rsid w:val="008E0506"/>
    <w:rsid w:val="008E096F"/>
    <w:rsid w:val="008E0CFF"/>
    <w:rsid w:val="008E1530"/>
    <w:rsid w:val="008E2B24"/>
    <w:rsid w:val="008E3CAA"/>
    <w:rsid w:val="008E50E7"/>
    <w:rsid w:val="008E559D"/>
    <w:rsid w:val="008E5D6B"/>
    <w:rsid w:val="008E6C11"/>
    <w:rsid w:val="008E726E"/>
    <w:rsid w:val="008E76F0"/>
    <w:rsid w:val="008E796D"/>
    <w:rsid w:val="008F02A3"/>
    <w:rsid w:val="008F0536"/>
    <w:rsid w:val="008F15FE"/>
    <w:rsid w:val="008F1E0D"/>
    <w:rsid w:val="008F2354"/>
    <w:rsid w:val="008F2A1A"/>
    <w:rsid w:val="008F2D29"/>
    <w:rsid w:val="008F4058"/>
    <w:rsid w:val="008F4318"/>
    <w:rsid w:val="008F5187"/>
    <w:rsid w:val="008F5867"/>
    <w:rsid w:val="008F60D8"/>
    <w:rsid w:val="008F6519"/>
    <w:rsid w:val="008F6776"/>
    <w:rsid w:val="008F7548"/>
    <w:rsid w:val="00900082"/>
    <w:rsid w:val="009009E8"/>
    <w:rsid w:val="00900F69"/>
    <w:rsid w:val="00901759"/>
    <w:rsid w:val="00902727"/>
    <w:rsid w:val="0090312B"/>
    <w:rsid w:val="00903762"/>
    <w:rsid w:val="009043FD"/>
    <w:rsid w:val="00904889"/>
    <w:rsid w:val="00904903"/>
    <w:rsid w:val="009056A8"/>
    <w:rsid w:val="00905F4D"/>
    <w:rsid w:val="00906048"/>
    <w:rsid w:val="00907173"/>
    <w:rsid w:val="00910101"/>
    <w:rsid w:val="00912FDF"/>
    <w:rsid w:val="009133A5"/>
    <w:rsid w:val="009135C6"/>
    <w:rsid w:val="00913E41"/>
    <w:rsid w:val="00914861"/>
    <w:rsid w:val="00914946"/>
    <w:rsid w:val="0091736D"/>
    <w:rsid w:val="00917D6D"/>
    <w:rsid w:val="00917EDF"/>
    <w:rsid w:val="00920AAB"/>
    <w:rsid w:val="00920F8D"/>
    <w:rsid w:val="009215DA"/>
    <w:rsid w:val="009228DA"/>
    <w:rsid w:val="00922948"/>
    <w:rsid w:val="009231FA"/>
    <w:rsid w:val="009235FC"/>
    <w:rsid w:val="0092415B"/>
    <w:rsid w:val="009245B2"/>
    <w:rsid w:val="00924814"/>
    <w:rsid w:val="00924B79"/>
    <w:rsid w:val="00924F39"/>
    <w:rsid w:val="00926512"/>
    <w:rsid w:val="009265C0"/>
    <w:rsid w:val="00927DAA"/>
    <w:rsid w:val="0093037A"/>
    <w:rsid w:val="00930AD0"/>
    <w:rsid w:val="009314C8"/>
    <w:rsid w:val="00932B07"/>
    <w:rsid w:val="00937294"/>
    <w:rsid w:val="00937D63"/>
    <w:rsid w:val="00940AA3"/>
    <w:rsid w:val="00940E3F"/>
    <w:rsid w:val="0094154D"/>
    <w:rsid w:val="00941C99"/>
    <w:rsid w:val="00944354"/>
    <w:rsid w:val="00944781"/>
    <w:rsid w:val="00944C1C"/>
    <w:rsid w:val="0095077B"/>
    <w:rsid w:val="0095155F"/>
    <w:rsid w:val="009516CD"/>
    <w:rsid w:val="00951FBB"/>
    <w:rsid w:val="00951FC1"/>
    <w:rsid w:val="0095309B"/>
    <w:rsid w:val="00954429"/>
    <w:rsid w:val="00955F24"/>
    <w:rsid w:val="009563CE"/>
    <w:rsid w:val="00956982"/>
    <w:rsid w:val="009576A5"/>
    <w:rsid w:val="00961D23"/>
    <w:rsid w:val="0096226D"/>
    <w:rsid w:val="00962428"/>
    <w:rsid w:val="00963577"/>
    <w:rsid w:val="0096398E"/>
    <w:rsid w:val="0096414C"/>
    <w:rsid w:val="00965636"/>
    <w:rsid w:val="00965B59"/>
    <w:rsid w:val="00965BAD"/>
    <w:rsid w:val="00967164"/>
    <w:rsid w:val="00967ED5"/>
    <w:rsid w:val="00971236"/>
    <w:rsid w:val="00975A46"/>
    <w:rsid w:val="00976328"/>
    <w:rsid w:val="0097632E"/>
    <w:rsid w:val="0097680D"/>
    <w:rsid w:val="00977C90"/>
    <w:rsid w:val="00980D3C"/>
    <w:rsid w:val="00980F1B"/>
    <w:rsid w:val="00982438"/>
    <w:rsid w:val="009826FC"/>
    <w:rsid w:val="00983821"/>
    <w:rsid w:val="0098404C"/>
    <w:rsid w:val="00984D53"/>
    <w:rsid w:val="00984F91"/>
    <w:rsid w:val="00985283"/>
    <w:rsid w:val="0098614E"/>
    <w:rsid w:val="00986585"/>
    <w:rsid w:val="00986651"/>
    <w:rsid w:val="00987CE8"/>
    <w:rsid w:val="009916FA"/>
    <w:rsid w:val="00991957"/>
    <w:rsid w:val="00993023"/>
    <w:rsid w:val="00994FA8"/>
    <w:rsid w:val="009957B4"/>
    <w:rsid w:val="00995992"/>
    <w:rsid w:val="0099648A"/>
    <w:rsid w:val="009A03E5"/>
    <w:rsid w:val="009A0AC1"/>
    <w:rsid w:val="009A0B1C"/>
    <w:rsid w:val="009A0F3B"/>
    <w:rsid w:val="009A12C1"/>
    <w:rsid w:val="009A1BB4"/>
    <w:rsid w:val="009A2628"/>
    <w:rsid w:val="009A2700"/>
    <w:rsid w:val="009A2F39"/>
    <w:rsid w:val="009A3200"/>
    <w:rsid w:val="009A6E0F"/>
    <w:rsid w:val="009A7574"/>
    <w:rsid w:val="009B0897"/>
    <w:rsid w:val="009B3A8A"/>
    <w:rsid w:val="009B3C90"/>
    <w:rsid w:val="009B4908"/>
    <w:rsid w:val="009B4ACB"/>
    <w:rsid w:val="009B739C"/>
    <w:rsid w:val="009B7BD9"/>
    <w:rsid w:val="009C0088"/>
    <w:rsid w:val="009C33E4"/>
    <w:rsid w:val="009C4395"/>
    <w:rsid w:val="009C4749"/>
    <w:rsid w:val="009C497F"/>
    <w:rsid w:val="009C4F4E"/>
    <w:rsid w:val="009C669C"/>
    <w:rsid w:val="009C67FF"/>
    <w:rsid w:val="009C6D60"/>
    <w:rsid w:val="009C7C83"/>
    <w:rsid w:val="009C7DD5"/>
    <w:rsid w:val="009C7EA2"/>
    <w:rsid w:val="009D0627"/>
    <w:rsid w:val="009D068A"/>
    <w:rsid w:val="009D08BA"/>
    <w:rsid w:val="009D351B"/>
    <w:rsid w:val="009D41F7"/>
    <w:rsid w:val="009D4AFA"/>
    <w:rsid w:val="009D612A"/>
    <w:rsid w:val="009E0226"/>
    <w:rsid w:val="009E227D"/>
    <w:rsid w:val="009E321B"/>
    <w:rsid w:val="009E3C8A"/>
    <w:rsid w:val="009E3FDC"/>
    <w:rsid w:val="009E5019"/>
    <w:rsid w:val="009E69F3"/>
    <w:rsid w:val="009F029C"/>
    <w:rsid w:val="009F1762"/>
    <w:rsid w:val="009F1D46"/>
    <w:rsid w:val="009F3AD5"/>
    <w:rsid w:val="009F4341"/>
    <w:rsid w:val="009F556B"/>
    <w:rsid w:val="009F66F8"/>
    <w:rsid w:val="00A01796"/>
    <w:rsid w:val="00A024DF"/>
    <w:rsid w:val="00A048ED"/>
    <w:rsid w:val="00A04F1B"/>
    <w:rsid w:val="00A0501B"/>
    <w:rsid w:val="00A0550E"/>
    <w:rsid w:val="00A0713F"/>
    <w:rsid w:val="00A07D64"/>
    <w:rsid w:val="00A10960"/>
    <w:rsid w:val="00A11877"/>
    <w:rsid w:val="00A120C0"/>
    <w:rsid w:val="00A12845"/>
    <w:rsid w:val="00A138C8"/>
    <w:rsid w:val="00A14947"/>
    <w:rsid w:val="00A1597D"/>
    <w:rsid w:val="00A15A9D"/>
    <w:rsid w:val="00A17AE9"/>
    <w:rsid w:val="00A20883"/>
    <w:rsid w:val="00A20EB0"/>
    <w:rsid w:val="00A21E4D"/>
    <w:rsid w:val="00A223C4"/>
    <w:rsid w:val="00A2343C"/>
    <w:rsid w:val="00A27893"/>
    <w:rsid w:val="00A3022D"/>
    <w:rsid w:val="00A31370"/>
    <w:rsid w:val="00A32A83"/>
    <w:rsid w:val="00A32C94"/>
    <w:rsid w:val="00A368DB"/>
    <w:rsid w:val="00A40BA5"/>
    <w:rsid w:val="00A40F2F"/>
    <w:rsid w:val="00A423AA"/>
    <w:rsid w:val="00A4242A"/>
    <w:rsid w:val="00A42831"/>
    <w:rsid w:val="00A42E0B"/>
    <w:rsid w:val="00A44D93"/>
    <w:rsid w:val="00A4544F"/>
    <w:rsid w:val="00A45695"/>
    <w:rsid w:val="00A4576E"/>
    <w:rsid w:val="00A458F1"/>
    <w:rsid w:val="00A45B73"/>
    <w:rsid w:val="00A46F4F"/>
    <w:rsid w:val="00A4753E"/>
    <w:rsid w:val="00A51D64"/>
    <w:rsid w:val="00A51FAE"/>
    <w:rsid w:val="00A5364D"/>
    <w:rsid w:val="00A53911"/>
    <w:rsid w:val="00A53EC6"/>
    <w:rsid w:val="00A5530A"/>
    <w:rsid w:val="00A55C0F"/>
    <w:rsid w:val="00A60BB9"/>
    <w:rsid w:val="00A634D0"/>
    <w:rsid w:val="00A65164"/>
    <w:rsid w:val="00A65A70"/>
    <w:rsid w:val="00A66356"/>
    <w:rsid w:val="00A671F7"/>
    <w:rsid w:val="00A7038E"/>
    <w:rsid w:val="00A70F3E"/>
    <w:rsid w:val="00A72484"/>
    <w:rsid w:val="00A73EC0"/>
    <w:rsid w:val="00A745E1"/>
    <w:rsid w:val="00A80539"/>
    <w:rsid w:val="00A83C6A"/>
    <w:rsid w:val="00A8521E"/>
    <w:rsid w:val="00A85ED5"/>
    <w:rsid w:val="00A8713F"/>
    <w:rsid w:val="00A90BA1"/>
    <w:rsid w:val="00A90E82"/>
    <w:rsid w:val="00A917FF"/>
    <w:rsid w:val="00A922C5"/>
    <w:rsid w:val="00A9375D"/>
    <w:rsid w:val="00A950E6"/>
    <w:rsid w:val="00A9615D"/>
    <w:rsid w:val="00A96630"/>
    <w:rsid w:val="00A97A9A"/>
    <w:rsid w:val="00A97DE1"/>
    <w:rsid w:val="00A97E42"/>
    <w:rsid w:val="00A97F92"/>
    <w:rsid w:val="00AA0671"/>
    <w:rsid w:val="00AA0DAE"/>
    <w:rsid w:val="00AA0F09"/>
    <w:rsid w:val="00AA0FBE"/>
    <w:rsid w:val="00AA1262"/>
    <w:rsid w:val="00AA2531"/>
    <w:rsid w:val="00AA57FA"/>
    <w:rsid w:val="00AA58EE"/>
    <w:rsid w:val="00AB04FD"/>
    <w:rsid w:val="00AB13A1"/>
    <w:rsid w:val="00AB1BAB"/>
    <w:rsid w:val="00AB1E09"/>
    <w:rsid w:val="00AB2B00"/>
    <w:rsid w:val="00AB2BAF"/>
    <w:rsid w:val="00AB5330"/>
    <w:rsid w:val="00AB6A95"/>
    <w:rsid w:val="00AB7747"/>
    <w:rsid w:val="00AB7C46"/>
    <w:rsid w:val="00AB7FB6"/>
    <w:rsid w:val="00AC0724"/>
    <w:rsid w:val="00AC14CE"/>
    <w:rsid w:val="00AC2A56"/>
    <w:rsid w:val="00AC4890"/>
    <w:rsid w:val="00AC4AE1"/>
    <w:rsid w:val="00AC4E2A"/>
    <w:rsid w:val="00AC5504"/>
    <w:rsid w:val="00AC5AF2"/>
    <w:rsid w:val="00AC5D3B"/>
    <w:rsid w:val="00AC60AF"/>
    <w:rsid w:val="00AC7896"/>
    <w:rsid w:val="00AD055E"/>
    <w:rsid w:val="00AD0C71"/>
    <w:rsid w:val="00AD3430"/>
    <w:rsid w:val="00AD4109"/>
    <w:rsid w:val="00AD47A7"/>
    <w:rsid w:val="00AD5CA1"/>
    <w:rsid w:val="00AD67B6"/>
    <w:rsid w:val="00AE1335"/>
    <w:rsid w:val="00AE42A6"/>
    <w:rsid w:val="00AE4E54"/>
    <w:rsid w:val="00AE602F"/>
    <w:rsid w:val="00AE6187"/>
    <w:rsid w:val="00AE7546"/>
    <w:rsid w:val="00AF009B"/>
    <w:rsid w:val="00AF0CBF"/>
    <w:rsid w:val="00AF0ED6"/>
    <w:rsid w:val="00AF1437"/>
    <w:rsid w:val="00AF257F"/>
    <w:rsid w:val="00AF3399"/>
    <w:rsid w:val="00AF33CF"/>
    <w:rsid w:val="00AF49BD"/>
    <w:rsid w:val="00AF4D50"/>
    <w:rsid w:val="00AF585D"/>
    <w:rsid w:val="00AF5C80"/>
    <w:rsid w:val="00AF60B7"/>
    <w:rsid w:val="00AF6179"/>
    <w:rsid w:val="00AF749B"/>
    <w:rsid w:val="00AF7731"/>
    <w:rsid w:val="00B01578"/>
    <w:rsid w:val="00B021F1"/>
    <w:rsid w:val="00B02A7B"/>
    <w:rsid w:val="00B030FA"/>
    <w:rsid w:val="00B038DD"/>
    <w:rsid w:val="00B03ABA"/>
    <w:rsid w:val="00B03B13"/>
    <w:rsid w:val="00B0654D"/>
    <w:rsid w:val="00B0784F"/>
    <w:rsid w:val="00B10E01"/>
    <w:rsid w:val="00B11912"/>
    <w:rsid w:val="00B1295A"/>
    <w:rsid w:val="00B134FB"/>
    <w:rsid w:val="00B13FBD"/>
    <w:rsid w:val="00B14893"/>
    <w:rsid w:val="00B155CF"/>
    <w:rsid w:val="00B17B20"/>
    <w:rsid w:val="00B20584"/>
    <w:rsid w:val="00B20A45"/>
    <w:rsid w:val="00B21A7E"/>
    <w:rsid w:val="00B22B00"/>
    <w:rsid w:val="00B22C5C"/>
    <w:rsid w:val="00B24C33"/>
    <w:rsid w:val="00B24D09"/>
    <w:rsid w:val="00B24F30"/>
    <w:rsid w:val="00B25479"/>
    <w:rsid w:val="00B258F3"/>
    <w:rsid w:val="00B26263"/>
    <w:rsid w:val="00B300E8"/>
    <w:rsid w:val="00B31ABF"/>
    <w:rsid w:val="00B31ADD"/>
    <w:rsid w:val="00B33BE3"/>
    <w:rsid w:val="00B34F4E"/>
    <w:rsid w:val="00B356DF"/>
    <w:rsid w:val="00B359BD"/>
    <w:rsid w:val="00B36C06"/>
    <w:rsid w:val="00B36F08"/>
    <w:rsid w:val="00B3787D"/>
    <w:rsid w:val="00B41F4A"/>
    <w:rsid w:val="00B4295F"/>
    <w:rsid w:val="00B445EE"/>
    <w:rsid w:val="00B4684B"/>
    <w:rsid w:val="00B479EB"/>
    <w:rsid w:val="00B5000C"/>
    <w:rsid w:val="00B502A7"/>
    <w:rsid w:val="00B509C4"/>
    <w:rsid w:val="00B52835"/>
    <w:rsid w:val="00B52A27"/>
    <w:rsid w:val="00B53B5D"/>
    <w:rsid w:val="00B54809"/>
    <w:rsid w:val="00B56397"/>
    <w:rsid w:val="00B56DF2"/>
    <w:rsid w:val="00B6055E"/>
    <w:rsid w:val="00B61697"/>
    <w:rsid w:val="00B62098"/>
    <w:rsid w:val="00B62CCE"/>
    <w:rsid w:val="00B6317D"/>
    <w:rsid w:val="00B6520A"/>
    <w:rsid w:val="00B65580"/>
    <w:rsid w:val="00B673F0"/>
    <w:rsid w:val="00B67EF8"/>
    <w:rsid w:val="00B70C3A"/>
    <w:rsid w:val="00B71BDC"/>
    <w:rsid w:val="00B733AD"/>
    <w:rsid w:val="00B737C0"/>
    <w:rsid w:val="00B74D0A"/>
    <w:rsid w:val="00B754FC"/>
    <w:rsid w:val="00B7723F"/>
    <w:rsid w:val="00B80534"/>
    <w:rsid w:val="00B80FF7"/>
    <w:rsid w:val="00B8105A"/>
    <w:rsid w:val="00B8120E"/>
    <w:rsid w:val="00B81274"/>
    <w:rsid w:val="00B829C5"/>
    <w:rsid w:val="00B83635"/>
    <w:rsid w:val="00B8433C"/>
    <w:rsid w:val="00B8541D"/>
    <w:rsid w:val="00B86B27"/>
    <w:rsid w:val="00B87491"/>
    <w:rsid w:val="00B91761"/>
    <w:rsid w:val="00B92E1F"/>
    <w:rsid w:val="00B93517"/>
    <w:rsid w:val="00B93E33"/>
    <w:rsid w:val="00B94838"/>
    <w:rsid w:val="00B9532F"/>
    <w:rsid w:val="00B96702"/>
    <w:rsid w:val="00B96E02"/>
    <w:rsid w:val="00BA119D"/>
    <w:rsid w:val="00BA135E"/>
    <w:rsid w:val="00BA29E9"/>
    <w:rsid w:val="00BA2BBC"/>
    <w:rsid w:val="00BA3814"/>
    <w:rsid w:val="00BA5536"/>
    <w:rsid w:val="00BA5CB3"/>
    <w:rsid w:val="00BA7142"/>
    <w:rsid w:val="00BA73AD"/>
    <w:rsid w:val="00BB16FB"/>
    <w:rsid w:val="00BB1B53"/>
    <w:rsid w:val="00BB237C"/>
    <w:rsid w:val="00BB2E3F"/>
    <w:rsid w:val="00BB41A3"/>
    <w:rsid w:val="00BB7A92"/>
    <w:rsid w:val="00BB7E90"/>
    <w:rsid w:val="00BC271E"/>
    <w:rsid w:val="00BC2801"/>
    <w:rsid w:val="00BC32DC"/>
    <w:rsid w:val="00BC354E"/>
    <w:rsid w:val="00BC35B6"/>
    <w:rsid w:val="00BC371E"/>
    <w:rsid w:val="00BD0E32"/>
    <w:rsid w:val="00BD0E6B"/>
    <w:rsid w:val="00BD19E3"/>
    <w:rsid w:val="00BD1B51"/>
    <w:rsid w:val="00BD3094"/>
    <w:rsid w:val="00BD4596"/>
    <w:rsid w:val="00BD4E3E"/>
    <w:rsid w:val="00BD52BA"/>
    <w:rsid w:val="00BD59FE"/>
    <w:rsid w:val="00BD633C"/>
    <w:rsid w:val="00BE1405"/>
    <w:rsid w:val="00BE312D"/>
    <w:rsid w:val="00BE41EA"/>
    <w:rsid w:val="00BE42D0"/>
    <w:rsid w:val="00BE566C"/>
    <w:rsid w:val="00BE5E14"/>
    <w:rsid w:val="00BE64D6"/>
    <w:rsid w:val="00BE658E"/>
    <w:rsid w:val="00BE664E"/>
    <w:rsid w:val="00BE72FD"/>
    <w:rsid w:val="00BE7468"/>
    <w:rsid w:val="00BF1C20"/>
    <w:rsid w:val="00BF44A7"/>
    <w:rsid w:val="00BF5A4F"/>
    <w:rsid w:val="00BF5D23"/>
    <w:rsid w:val="00BF78A7"/>
    <w:rsid w:val="00C00958"/>
    <w:rsid w:val="00C01B4E"/>
    <w:rsid w:val="00C020A1"/>
    <w:rsid w:val="00C0471F"/>
    <w:rsid w:val="00C048E8"/>
    <w:rsid w:val="00C04F40"/>
    <w:rsid w:val="00C05FD0"/>
    <w:rsid w:val="00C060E0"/>
    <w:rsid w:val="00C06942"/>
    <w:rsid w:val="00C0715B"/>
    <w:rsid w:val="00C07250"/>
    <w:rsid w:val="00C10578"/>
    <w:rsid w:val="00C11104"/>
    <w:rsid w:val="00C114DC"/>
    <w:rsid w:val="00C135BC"/>
    <w:rsid w:val="00C13D84"/>
    <w:rsid w:val="00C14339"/>
    <w:rsid w:val="00C14365"/>
    <w:rsid w:val="00C15C95"/>
    <w:rsid w:val="00C1628E"/>
    <w:rsid w:val="00C16EA6"/>
    <w:rsid w:val="00C178D7"/>
    <w:rsid w:val="00C20B30"/>
    <w:rsid w:val="00C2450F"/>
    <w:rsid w:val="00C2579B"/>
    <w:rsid w:val="00C2596A"/>
    <w:rsid w:val="00C265CD"/>
    <w:rsid w:val="00C27537"/>
    <w:rsid w:val="00C27E29"/>
    <w:rsid w:val="00C30528"/>
    <w:rsid w:val="00C310DC"/>
    <w:rsid w:val="00C31276"/>
    <w:rsid w:val="00C3138C"/>
    <w:rsid w:val="00C31840"/>
    <w:rsid w:val="00C32844"/>
    <w:rsid w:val="00C328FE"/>
    <w:rsid w:val="00C334BA"/>
    <w:rsid w:val="00C33507"/>
    <w:rsid w:val="00C344DC"/>
    <w:rsid w:val="00C370BB"/>
    <w:rsid w:val="00C37B30"/>
    <w:rsid w:val="00C40654"/>
    <w:rsid w:val="00C409F5"/>
    <w:rsid w:val="00C41519"/>
    <w:rsid w:val="00C43AAF"/>
    <w:rsid w:val="00C43D18"/>
    <w:rsid w:val="00C4409D"/>
    <w:rsid w:val="00C44E72"/>
    <w:rsid w:val="00C45A06"/>
    <w:rsid w:val="00C47E5B"/>
    <w:rsid w:val="00C47F4A"/>
    <w:rsid w:val="00C502E8"/>
    <w:rsid w:val="00C50C9E"/>
    <w:rsid w:val="00C50E16"/>
    <w:rsid w:val="00C51A1E"/>
    <w:rsid w:val="00C53268"/>
    <w:rsid w:val="00C533E9"/>
    <w:rsid w:val="00C53EA0"/>
    <w:rsid w:val="00C54149"/>
    <w:rsid w:val="00C55083"/>
    <w:rsid w:val="00C56386"/>
    <w:rsid w:val="00C61E4B"/>
    <w:rsid w:val="00C636C7"/>
    <w:rsid w:val="00C63707"/>
    <w:rsid w:val="00C6419A"/>
    <w:rsid w:val="00C64BFF"/>
    <w:rsid w:val="00C65ACA"/>
    <w:rsid w:val="00C65EF4"/>
    <w:rsid w:val="00C6601E"/>
    <w:rsid w:val="00C67F27"/>
    <w:rsid w:val="00C704E9"/>
    <w:rsid w:val="00C70CC3"/>
    <w:rsid w:val="00C73CC3"/>
    <w:rsid w:val="00C74C37"/>
    <w:rsid w:val="00C755FE"/>
    <w:rsid w:val="00C763C9"/>
    <w:rsid w:val="00C76D2F"/>
    <w:rsid w:val="00C774F2"/>
    <w:rsid w:val="00C80032"/>
    <w:rsid w:val="00C80057"/>
    <w:rsid w:val="00C801BA"/>
    <w:rsid w:val="00C82232"/>
    <w:rsid w:val="00C82913"/>
    <w:rsid w:val="00C82EB0"/>
    <w:rsid w:val="00C834BF"/>
    <w:rsid w:val="00C843DD"/>
    <w:rsid w:val="00C8630E"/>
    <w:rsid w:val="00C869DC"/>
    <w:rsid w:val="00C87017"/>
    <w:rsid w:val="00C875D1"/>
    <w:rsid w:val="00C905F5"/>
    <w:rsid w:val="00C90995"/>
    <w:rsid w:val="00C928B7"/>
    <w:rsid w:val="00C93FE4"/>
    <w:rsid w:val="00C94779"/>
    <w:rsid w:val="00C94ABC"/>
    <w:rsid w:val="00C95120"/>
    <w:rsid w:val="00C95A6E"/>
    <w:rsid w:val="00C95E3C"/>
    <w:rsid w:val="00C972B1"/>
    <w:rsid w:val="00C97525"/>
    <w:rsid w:val="00CA1CEC"/>
    <w:rsid w:val="00CA2CCE"/>
    <w:rsid w:val="00CA43FD"/>
    <w:rsid w:val="00CA624B"/>
    <w:rsid w:val="00CA7EF8"/>
    <w:rsid w:val="00CB23C0"/>
    <w:rsid w:val="00CB2C26"/>
    <w:rsid w:val="00CB3E24"/>
    <w:rsid w:val="00CB5538"/>
    <w:rsid w:val="00CB574E"/>
    <w:rsid w:val="00CB6676"/>
    <w:rsid w:val="00CC0E61"/>
    <w:rsid w:val="00CC1643"/>
    <w:rsid w:val="00CC1F5B"/>
    <w:rsid w:val="00CC2345"/>
    <w:rsid w:val="00CC261A"/>
    <w:rsid w:val="00CC489B"/>
    <w:rsid w:val="00CC4C6B"/>
    <w:rsid w:val="00CC541C"/>
    <w:rsid w:val="00CC548A"/>
    <w:rsid w:val="00CC758D"/>
    <w:rsid w:val="00CD0524"/>
    <w:rsid w:val="00CD0F87"/>
    <w:rsid w:val="00CD1AF3"/>
    <w:rsid w:val="00CD1B01"/>
    <w:rsid w:val="00CD2BCD"/>
    <w:rsid w:val="00CD3686"/>
    <w:rsid w:val="00CD374D"/>
    <w:rsid w:val="00CD388C"/>
    <w:rsid w:val="00CD3A4C"/>
    <w:rsid w:val="00CD3D64"/>
    <w:rsid w:val="00CE0E32"/>
    <w:rsid w:val="00CE10E9"/>
    <w:rsid w:val="00CE2910"/>
    <w:rsid w:val="00CE2CCD"/>
    <w:rsid w:val="00CE3E42"/>
    <w:rsid w:val="00CE4F65"/>
    <w:rsid w:val="00CE5393"/>
    <w:rsid w:val="00CE5CF6"/>
    <w:rsid w:val="00CE6624"/>
    <w:rsid w:val="00CF1A2E"/>
    <w:rsid w:val="00CF286E"/>
    <w:rsid w:val="00CF2CA2"/>
    <w:rsid w:val="00CF36BE"/>
    <w:rsid w:val="00CF5430"/>
    <w:rsid w:val="00CF5944"/>
    <w:rsid w:val="00CF6000"/>
    <w:rsid w:val="00CF7AC4"/>
    <w:rsid w:val="00CF7F2F"/>
    <w:rsid w:val="00D003F3"/>
    <w:rsid w:val="00D01872"/>
    <w:rsid w:val="00D0210C"/>
    <w:rsid w:val="00D02CF4"/>
    <w:rsid w:val="00D033D4"/>
    <w:rsid w:val="00D0364F"/>
    <w:rsid w:val="00D04DC7"/>
    <w:rsid w:val="00D06834"/>
    <w:rsid w:val="00D06917"/>
    <w:rsid w:val="00D0736D"/>
    <w:rsid w:val="00D12574"/>
    <w:rsid w:val="00D12E3E"/>
    <w:rsid w:val="00D13430"/>
    <w:rsid w:val="00D13B86"/>
    <w:rsid w:val="00D13D3D"/>
    <w:rsid w:val="00D14D0C"/>
    <w:rsid w:val="00D158E6"/>
    <w:rsid w:val="00D15CE5"/>
    <w:rsid w:val="00D161B2"/>
    <w:rsid w:val="00D16FE0"/>
    <w:rsid w:val="00D21A42"/>
    <w:rsid w:val="00D2446B"/>
    <w:rsid w:val="00D2478A"/>
    <w:rsid w:val="00D249C0"/>
    <w:rsid w:val="00D2660A"/>
    <w:rsid w:val="00D308ED"/>
    <w:rsid w:val="00D32A66"/>
    <w:rsid w:val="00D33431"/>
    <w:rsid w:val="00D33862"/>
    <w:rsid w:val="00D34034"/>
    <w:rsid w:val="00D3506A"/>
    <w:rsid w:val="00D35FC0"/>
    <w:rsid w:val="00D36D86"/>
    <w:rsid w:val="00D428AA"/>
    <w:rsid w:val="00D43B5B"/>
    <w:rsid w:val="00D44232"/>
    <w:rsid w:val="00D4593F"/>
    <w:rsid w:val="00D50891"/>
    <w:rsid w:val="00D50A34"/>
    <w:rsid w:val="00D50C49"/>
    <w:rsid w:val="00D51FCF"/>
    <w:rsid w:val="00D527E4"/>
    <w:rsid w:val="00D5338D"/>
    <w:rsid w:val="00D53774"/>
    <w:rsid w:val="00D53EFA"/>
    <w:rsid w:val="00D54D01"/>
    <w:rsid w:val="00D56BC5"/>
    <w:rsid w:val="00D5769B"/>
    <w:rsid w:val="00D57957"/>
    <w:rsid w:val="00D57A9F"/>
    <w:rsid w:val="00D62549"/>
    <w:rsid w:val="00D62A02"/>
    <w:rsid w:val="00D62B7A"/>
    <w:rsid w:val="00D62FB0"/>
    <w:rsid w:val="00D65179"/>
    <w:rsid w:val="00D6526C"/>
    <w:rsid w:val="00D65505"/>
    <w:rsid w:val="00D660F4"/>
    <w:rsid w:val="00D6683D"/>
    <w:rsid w:val="00D677FA"/>
    <w:rsid w:val="00D71B3F"/>
    <w:rsid w:val="00D72799"/>
    <w:rsid w:val="00D73ABA"/>
    <w:rsid w:val="00D80AFC"/>
    <w:rsid w:val="00D8141F"/>
    <w:rsid w:val="00D83189"/>
    <w:rsid w:val="00D874C6"/>
    <w:rsid w:val="00D91AB8"/>
    <w:rsid w:val="00D9306E"/>
    <w:rsid w:val="00D935F0"/>
    <w:rsid w:val="00D93798"/>
    <w:rsid w:val="00D94A7C"/>
    <w:rsid w:val="00D95896"/>
    <w:rsid w:val="00D9637A"/>
    <w:rsid w:val="00DA3234"/>
    <w:rsid w:val="00DA4CEB"/>
    <w:rsid w:val="00DA5012"/>
    <w:rsid w:val="00DA6A0C"/>
    <w:rsid w:val="00DA7EE9"/>
    <w:rsid w:val="00DB01BB"/>
    <w:rsid w:val="00DB1A39"/>
    <w:rsid w:val="00DB1E51"/>
    <w:rsid w:val="00DB2983"/>
    <w:rsid w:val="00DB2BD2"/>
    <w:rsid w:val="00DB3E5D"/>
    <w:rsid w:val="00DB5FE5"/>
    <w:rsid w:val="00DB6609"/>
    <w:rsid w:val="00DC0C8B"/>
    <w:rsid w:val="00DC10E1"/>
    <w:rsid w:val="00DC1257"/>
    <w:rsid w:val="00DC24AF"/>
    <w:rsid w:val="00DC2578"/>
    <w:rsid w:val="00DC3DC0"/>
    <w:rsid w:val="00DC42DC"/>
    <w:rsid w:val="00DC58B8"/>
    <w:rsid w:val="00DC5B2B"/>
    <w:rsid w:val="00DC5E6F"/>
    <w:rsid w:val="00DC5E8B"/>
    <w:rsid w:val="00DC634B"/>
    <w:rsid w:val="00DC6619"/>
    <w:rsid w:val="00DD13AE"/>
    <w:rsid w:val="00DD2843"/>
    <w:rsid w:val="00DD318D"/>
    <w:rsid w:val="00DD3327"/>
    <w:rsid w:val="00DD33BD"/>
    <w:rsid w:val="00DD4E46"/>
    <w:rsid w:val="00DD5710"/>
    <w:rsid w:val="00DD57FD"/>
    <w:rsid w:val="00DE0C96"/>
    <w:rsid w:val="00DE16F7"/>
    <w:rsid w:val="00DE1ED1"/>
    <w:rsid w:val="00DE2727"/>
    <w:rsid w:val="00DE425D"/>
    <w:rsid w:val="00DE499D"/>
    <w:rsid w:val="00DE51BF"/>
    <w:rsid w:val="00DE567D"/>
    <w:rsid w:val="00DF11D5"/>
    <w:rsid w:val="00DF2E12"/>
    <w:rsid w:val="00DF4328"/>
    <w:rsid w:val="00DF446C"/>
    <w:rsid w:val="00DF4548"/>
    <w:rsid w:val="00DF4E99"/>
    <w:rsid w:val="00DF514A"/>
    <w:rsid w:val="00DF5E03"/>
    <w:rsid w:val="00DF6536"/>
    <w:rsid w:val="00DF6690"/>
    <w:rsid w:val="00DF6804"/>
    <w:rsid w:val="00DF7941"/>
    <w:rsid w:val="00E00EC8"/>
    <w:rsid w:val="00E01166"/>
    <w:rsid w:val="00E019D8"/>
    <w:rsid w:val="00E0265C"/>
    <w:rsid w:val="00E02A1B"/>
    <w:rsid w:val="00E02EB1"/>
    <w:rsid w:val="00E0358D"/>
    <w:rsid w:val="00E035F2"/>
    <w:rsid w:val="00E0415A"/>
    <w:rsid w:val="00E04323"/>
    <w:rsid w:val="00E0489E"/>
    <w:rsid w:val="00E053CF"/>
    <w:rsid w:val="00E05E08"/>
    <w:rsid w:val="00E06A96"/>
    <w:rsid w:val="00E070A2"/>
    <w:rsid w:val="00E12B76"/>
    <w:rsid w:val="00E12FA5"/>
    <w:rsid w:val="00E13011"/>
    <w:rsid w:val="00E1369C"/>
    <w:rsid w:val="00E13810"/>
    <w:rsid w:val="00E13F85"/>
    <w:rsid w:val="00E142D1"/>
    <w:rsid w:val="00E14A67"/>
    <w:rsid w:val="00E14ECA"/>
    <w:rsid w:val="00E153B6"/>
    <w:rsid w:val="00E1665C"/>
    <w:rsid w:val="00E16A34"/>
    <w:rsid w:val="00E203A9"/>
    <w:rsid w:val="00E20BFC"/>
    <w:rsid w:val="00E21521"/>
    <w:rsid w:val="00E24CE0"/>
    <w:rsid w:val="00E25513"/>
    <w:rsid w:val="00E2656A"/>
    <w:rsid w:val="00E27CE4"/>
    <w:rsid w:val="00E27DA5"/>
    <w:rsid w:val="00E330D3"/>
    <w:rsid w:val="00E33167"/>
    <w:rsid w:val="00E357A3"/>
    <w:rsid w:val="00E36EAF"/>
    <w:rsid w:val="00E36FE3"/>
    <w:rsid w:val="00E37F17"/>
    <w:rsid w:val="00E412D0"/>
    <w:rsid w:val="00E4247C"/>
    <w:rsid w:val="00E42D0F"/>
    <w:rsid w:val="00E471DB"/>
    <w:rsid w:val="00E473D5"/>
    <w:rsid w:val="00E47F3C"/>
    <w:rsid w:val="00E505E7"/>
    <w:rsid w:val="00E50F27"/>
    <w:rsid w:val="00E52B4F"/>
    <w:rsid w:val="00E52D5D"/>
    <w:rsid w:val="00E55B83"/>
    <w:rsid w:val="00E56322"/>
    <w:rsid w:val="00E56620"/>
    <w:rsid w:val="00E601AA"/>
    <w:rsid w:val="00E6031F"/>
    <w:rsid w:val="00E60982"/>
    <w:rsid w:val="00E61984"/>
    <w:rsid w:val="00E62C62"/>
    <w:rsid w:val="00E6362A"/>
    <w:rsid w:val="00E63C15"/>
    <w:rsid w:val="00E63DED"/>
    <w:rsid w:val="00E644CD"/>
    <w:rsid w:val="00E648F5"/>
    <w:rsid w:val="00E654C1"/>
    <w:rsid w:val="00E65D97"/>
    <w:rsid w:val="00E67A49"/>
    <w:rsid w:val="00E70063"/>
    <w:rsid w:val="00E70341"/>
    <w:rsid w:val="00E70792"/>
    <w:rsid w:val="00E72085"/>
    <w:rsid w:val="00E72A5A"/>
    <w:rsid w:val="00E73354"/>
    <w:rsid w:val="00E76089"/>
    <w:rsid w:val="00E7650D"/>
    <w:rsid w:val="00E80C37"/>
    <w:rsid w:val="00E81C99"/>
    <w:rsid w:val="00E839F3"/>
    <w:rsid w:val="00E83A5B"/>
    <w:rsid w:val="00E84371"/>
    <w:rsid w:val="00E85100"/>
    <w:rsid w:val="00E8539C"/>
    <w:rsid w:val="00E866EE"/>
    <w:rsid w:val="00E8694F"/>
    <w:rsid w:val="00E86C79"/>
    <w:rsid w:val="00E87233"/>
    <w:rsid w:val="00E87E9F"/>
    <w:rsid w:val="00E917F5"/>
    <w:rsid w:val="00E91AA1"/>
    <w:rsid w:val="00E9242D"/>
    <w:rsid w:val="00E92785"/>
    <w:rsid w:val="00E94397"/>
    <w:rsid w:val="00E9468A"/>
    <w:rsid w:val="00E962CB"/>
    <w:rsid w:val="00EA030D"/>
    <w:rsid w:val="00EA0E94"/>
    <w:rsid w:val="00EA0FA2"/>
    <w:rsid w:val="00EA1333"/>
    <w:rsid w:val="00EA277C"/>
    <w:rsid w:val="00EA3C91"/>
    <w:rsid w:val="00EA3FC7"/>
    <w:rsid w:val="00EA4005"/>
    <w:rsid w:val="00EA45B3"/>
    <w:rsid w:val="00EA5598"/>
    <w:rsid w:val="00EA5628"/>
    <w:rsid w:val="00EA59FF"/>
    <w:rsid w:val="00EA6953"/>
    <w:rsid w:val="00EB3422"/>
    <w:rsid w:val="00EB3C5C"/>
    <w:rsid w:val="00EB48CC"/>
    <w:rsid w:val="00EB48FC"/>
    <w:rsid w:val="00EB4F1F"/>
    <w:rsid w:val="00EB5255"/>
    <w:rsid w:val="00EB5C47"/>
    <w:rsid w:val="00EB6136"/>
    <w:rsid w:val="00EB6C19"/>
    <w:rsid w:val="00EB6DD7"/>
    <w:rsid w:val="00EC0819"/>
    <w:rsid w:val="00EC0DA8"/>
    <w:rsid w:val="00EC0E85"/>
    <w:rsid w:val="00EC1105"/>
    <w:rsid w:val="00EC18FF"/>
    <w:rsid w:val="00EC23D9"/>
    <w:rsid w:val="00EC3FC5"/>
    <w:rsid w:val="00EC53E3"/>
    <w:rsid w:val="00EC55E2"/>
    <w:rsid w:val="00EC61ED"/>
    <w:rsid w:val="00ED0639"/>
    <w:rsid w:val="00ED0BB3"/>
    <w:rsid w:val="00ED29A2"/>
    <w:rsid w:val="00ED36A6"/>
    <w:rsid w:val="00ED3DEC"/>
    <w:rsid w:val="00ED420C"/>
    <w:rsid w:val="00ED4844"/>
    <w:rsid w:val="00ED6648"/>
    <w:rsid w:val="00ED6AE0"/>
    <w:rsid w:val="00EE05E4"/>
    <w:rsid w:val="00EE192C"/>
    <w:rsid w:val="00EE2978"/>
    <w:rsid w:val="00EE38E0"/>
    <w:rsid w:val="00EE4618"/>
    <w:rsid w:val="00EE4B7F"/>
    <w:rsid w:val="00EE4DC5"/>
    <w:rsid w:val="00EE66CC"/>
    <w:rsid w:val="00EE6B75"/>
    <w:rsid w:val="00EE6D51"/>
    <w:rsid w:val="00EF0F83"/>
    <w:rsid w:val="00EF28A3"/>
    <w:rsid w:val="00EF28C6"/>
    <w:rsid w:val="00EF2D9C"/>
    <w:rsid w:val="00EF3E04"/>
    <w:rsid w:val="00EF4755"/>
    <w:rsid w:val="00EF4EAE"/>
    <w:rsid w:val="00EF50A3"/>
    <w:rsid w:val="00EF5179"/>
    <w:rsid w:val="00EF52E1"/>
    <w:rsid w:val="00EF59DF"/>
    <w:rsid w:val="00EF5C98"/>
    <w:rsid w:val="00EF7135"/>
    <w:rsid w:val="00F01CCF"/>
    <w:rsid w:val="00F027DB"/>
    <w:rsid w:val="00F052A0"/>
    <w:rsid w:val="00F05F70"/>
    <w:rsid w:val="00F078E2"/>
    <w:rsid w:val="00F07B73"/>
    <w:rsid w:val="00F1378E"/>
    <w:rsid w:val="00F13D53"/>
    <w:rsid w:val="00F14A7A"/>
    <w:rsid w:val="00F14B7E"/>
    <w:rsid w:val="00F16471"/>
    <w:rsid w:val="00F173DC"/>
    <w:rsid w:val="00F17412"/>
    <w:rsid w:val="00F22985"/>
    <w:rsid w:val="00F23D50"/>
    <w:rsid w:val="00F2436D"/>
    <w:rsid w:val="00F250E0"/>
    <w:rsid w:val="00F25AE7"/>
    <w:rsid w:val="00F26BFA"/>
    <w:rsid w:val="00F276BA"/>
    <w:rsid w:val="00F32D4C"/>
    <w:rsid w:val="00F3360F"/>
    <w:rsid w:val="00F3383E"/>
    <w:rsid w:val="00F37267"/>
    <w:rsid w:val="00F37887"/>
    <w:rsid w:val="00F42222"/>
    <w:rsid w:val="00F4238D"/>
    <w:rsid w:val="00F42930"/>
    <w:rsid w:val="00F4360E"/>
    <w:rsid w:val="00F43F41"/>
    <w:rsid w:val="00F45355"/>
    <w:rsid w:val="00F465A7"/>
    <w:rsid w:val="00F46A88"/>
    <w:rsid w:val="00F500F1"/>
    <w:rsid w:val="00F50B7C"/>
    <w:rsid w:val="00F530E8"/>
    <w:rsid w:val="00F550E6"/>
    <w:rsid w:val="00F55175"/>
    <w:rsid w:val="00F55623"/>
    <w:rsid w:val="00F5562F"/>
    <w:rsid w:val="00F572DD"/>
    <w:rsid w:val="00F5765D"/>
    <w:rsid w:val="00F61791"/>
    <w:rsid w:val="00F63137"/>
    <w:rsid w:val="00F63A31"/>
    <w:rsid w:val="00F63B07"/>
    <w:rsid w:val="00F64E22"/>
    <w:rsid w:val="00F653E9"/>
    <w:rsid w:val="00F67DE8"/>
    <w:rsid w:val="00F71D72"/>
    <w:rsid w:val="00F72EE5"/>
    <w:rsid w:val="00F739A0"/>
    <w:rsid w:val="00F73A70"/>
    <w:rsid w:val="00F74345"/>
    <w:rsid w:val="00F746C4"/>
    <w:rsid w:val="00F76FC1"/>
    <w:rsid w:val="00F777EC"/>
    <w:rsid w:val="00F800C8"/>
    <w:rsid w:val="00F8075C"/>
    <w:rsid w:val="00F80A0A"/>
    <w:rsid w:val="00F82AB5"/>
    <w:rsid w:val="00F82B19"/>
    <w:rsid w:val="00F849B3"/>
    <w:rsid w:val="00F8575F"/>
    <w:rsid w:val="00F85BA7"/>
    <w:rsid w:val="00F86E3C"/>
    <w:rsid w:val="00F874DC"/>
    <w:rsid w:val="00F87D67"/>
    <w:rsid w:val="00F91586"/>
    <w:rsid w:val="00F9212D"/>
    <w:rsid w:val="00F93B43"/>
    <w:rsid w:val="00F94857"/>
    <w:rsid w:val="00F94860"/>
    <w:rsid w:val="00F965DA"/>
    <w:rsid w:val="00FA00C2"/>
    <w:rsid w:val="00FA0124"/>
    <w:rsid w:val="00FA06B2"/>
    <w:rsid w:val="00FA17F6"/>
    <w:rsid w:val="00FA19AB"/>
    <w:rsid w:val="00FA1F4B"/>
    <w:rsid w:val="00FA378D"/>
    <w:rsid w:val="00FA406A"/>
    <w:rsid w:val="00FA515C"/>
    <w:rsid w:val="00FA5562"/>
    <w:rsid w:val="00FA7863"/>
    <w:rsid w:val="00FA7D76"/>
    <w:rsid w:val="00FB03EC"/>
    <w:rsid w:val="00FB1959"/>
    <w:rsid w:val="00FB1FD1"/>
    <w:rsid w:val="00FB2192"/>
    <w:rsid w:val="00FB3D64"/>
    <w:rsid w:val="00FB4281"/>
    <w:rsid w:val="00FB503A"/>
    <w:rsid w:val="00FB516C"/>
    <w:rsid w:val="00FB5700"/>
    <w:rsid w:val="00FB6974"/>
    <w:rsid w:val="00FB70F8"/>
    <w:rsid w:val="00FC3487"/>
    <w:rsid w:val="00FC3AB2"/>
    <w:rsid w:val="00FC5951"/>
    <w:rsid w:val="00FC6D63"/>
    <w:rsid w:val="00FC76D9"/>
    <w:rsid w:val="00FD0236"/>
    <w:rsid w:val="00FD18F4"/>
    <w:rsid w:val="00FD1F10"/>
    <w:rsid w:val="00FD421E"/>
    <w:rsid w:val="00FD54DB"/>
    <w:rsid w:val="00FD5631"/>
    <w:rsid w:val="00FD5821"/>
    <w:rsid w:val="00FD619F"/>
    <w:rsid w:val="00FD7895"/>
    <w:rsid w:val="00FD7BC7"/>
    <w:rsid w:val="00FD7FC7"/>
    <w:rsid w:val="00FE1470"/>
    <w:rsid w:val="00FE1827"/>
    <w:rsid w:val="00FE189C"/>
    <w:rsid w:val="00FE2DB4"/>
    <w:rsid w:val="00FE3523"/>
    <w:rsid w:val="00FE368A"/>
    <w:rsid w:val="00FE7A62"/>
    <w:rsid w:val="00FE7EF6"/>
    <w:rsid w:val="00FF0A3D"/>
    <w:rsid w:val="00FF1560"/>
    <w:rsid w:val="00FF2189"/>
    <w:rsid w:val="00FF4A17"/>
    <w:rsid w:val="00FF5907"/>
    <w:rsid w:val="00FF6BFD"/>
    <w:rsid w:val="00FF70D3"/>
    <w:rsid w:val="00FF7395"/>
    <w:rsid w:val="01290F7E"/>
    <w:rsid w:val="01350AD8"/>
    <w:rsid w:val="015D1E09"/>
    <w:rsid w:val="01900B6B"/>
    <w:rsid w:val="01A26771"/>
    <w:rsid w:val="021F6013"/>
    <w:rsid w:val="02697903"/>
    <w:rsid w:val="02F96569"/>
    <w:rsid w:val="036F2FCB"/>
    <w:rsid w:val="03A11052"/>
    <w:rsid w:val="03EA7B21"/>
    <w:rsid w:val="03FD05D6"/>
    <w:rsid w:val="04112D76"/>
    <w:rsid w:val="051E6A56"/>
    <w:rsid w:val="056C1F7B"/>
    <w:rsid w:val="05F83EAE"/>
    <w:rsid w:val="05FC43E9"/>
    <w:rsid w:val="06252291"/>
    <w:rsid w:val="063E7D85"/>
    <w:rsid w:val="064416AA"/>
    <w:rsid w:val="064D6231"/>
    <w:rsid w:val="06744E79"/>
    <w:rsid w:val="068C566F"/>
    <w:rsid w:val="068D06A0"/>
    <w:rsid w:val="06E2459D"/>
    <w:rsid w:val="07293586"/>
    <w:rsid w:val="07295285"/>
    <w:rsid w:val="07636392"/>
    <w:rsid w:val="07770C56"/>
    <w:rsid w:val="07AB3B7E"/>
    <w:rsid w:val="07F60B29"/>
    <w:rsid w:val="081B102B"/>
    <w:rsid w:val="08311CF1"/>
    <w:rsid w:val="08874C32"/>
    <w:rsid w:val="089112ED"/>
    <w:rsid w:val="092217DD"/>
    <w:rsid w:val="092B7994"/>
    <w:rsid w:val="093036D2"/>
    <w:rsid w:val="093A7294"/>
    <w:rsid w:val="09631893"/>
    <w:rsid w:val="0A263993"/>
    <w:rsid w:val="0A2C39C3"/>
    <w:rsid w:val="0A2D3AC2"/>
    <w:rsid w:val="0A402FCB"/>
    <w:rsid w:val="0A911A78"/>
    <w:rsid w:val="0A9E51BA"/>
    <w:rsid w:val="0AA755DF"/>
    <w:rsid w:val="0B120D44"/>
    <w:rsid w:val="0B39655D"/>
    <w:rsid w:val="0B5F3278"/>
    <w:rsid w:val="0B6902FF"/>
    <w:rsid w:val="0B8909A2"/>
    <w:rsid w:val="0BA13F3D"/>
    <w:rsid w:val="0BBB6595"/>
    <w:rsid w:val="0BD27BF6"/>
    <w:rsid w:val="0BDC72AF"/>
    <w:rsid w:val="0BE20898"/>
    <w:rsid w:val="0C3B3C7D"/>
    <w:rsid w:val="0C8441ED"/>
    <w:rsid w:val="0C9026E0"/>
    <w:rsid w:val="0CAB2EAE"/>
    <w:rsid w:val="0CB63A18"/>
    <w:rsid w:val="0D5E0BBC"/>
    <w:rsid w:val="0D621C7D"/>
    <w:rsid w:val="0DC363ED"/>
    <w:rsid w:val="0DC7106D"/>
    <w:rsid w:val="0DEB5944"/>
    <w:rsid w:val="0E2C725E"/>
    <w:rsid w:val="0E311002"/>
    <w:rsid w:val="0E73034D"/>
    <w:rsid w:val="0E8813E4"/>
    <w:rsid w:val="0EAE66D0"/>
    <w:rsid w:val="0ECC36F2"/>
    <w:rsid w:val="0EDB7766"/>
    <w:rsid w:val="0EDD16F0"/>
    <w:rsid w:val="0EE24651"/>
    <w:rsid w:val="0F037869"/>
    <w:rsid w:val="0F056591"/>
    <w:rsid w:val="0F0F7410"/>
    <w:rsid w:val="0F13775A"/>
    <w:rsid w:val="0F402F94"/>
    <w:rsid w:val="0F4D1F40"/>
    <w:rsid w:val="0F5F4564"/>
    <w:rsid w:val="0F5F45FE"/>
    <w:rsid w:val="0F8E4673"/>
    <w:rsid w:val="0F9A112B"/>
    <w:rsid w:val="0FD0094D"/>
    <w:rsid w:val="0FD348E1"/>
    <w:rsid w:val="105477D0"/>
    <w:rsid w:val="106D2F64"/>
    <w:rsid w:val="107B3E22"/>
    <w:rsid w:val="10B63710"/>
    <w:rsid w:val="10F10820"/>
    <w:rsid w:val="10F20ABF"/>
    <w:rsid w:val="110F1949"/>
    <w:rsid w:val="11175C83"/>
    <w:rsid w:val="111C2F7A"/>
    <w:rsid w:val="1121090B"/>
    <w:rsid w:val="11457119"/>
    <w:rsid w:val="11665CA1"/>
    <w:rsid w:val="118D73D1"/>
    <w:rsid w:val="118D7DB5"/>
    <w:rsid w:val="11CE710E"/>
    <w:rsid w:val="11D32976"/>
    <w:rsid w:val="11F868D7"/>
    <w:rsid w:val="12145A3A"/>
    <w:rsid w:val="122E5DFF"/>
    <w:rsid w:val="12411FD6"/>
    <w:rsid w:val="12491D69"/>
    <w:rsid w:val="12791770"/>
    <w:rsid w:val="12981B54"/>
    <w:rsid w:val="12C329EB"/>
    <w:rsid w:val="12D20E80"/>
    <w:rsid w:val="12EC1F42"/>
    <w:rsid w:val="13070B2A"/>
    <w:rsid w:val="131B2827"/>
    <w:rsid w:val="134358DA"/>
    <w:rsid w:val="134E1CE9"/>
    <w:rsid w:val="135A334F"/>
    <w:rsid w:val="13951726"/>
    <w:rsid w:val="140D00E2"/>
    <w:rsid w:val="14215C1B"/>
    <w:rsid w:val="14396509"/>
    <w:rsid w:val="145D2400"/>
    <w:rsid w:val="149434CF"/>
    <w:rsid w:val="14A33ECA"/>
    <w:rsid w:val="14B77E8A"/>
    <w:rsid w:val="14C94663"/>
    <w:rsid w:val="14DD2C3C"/>
    <w:rsid w:val="15A34635"/>
    <w:rsid w:val="15AA5E00"/>
    <w:rsid w:val="15C5475E"/>
    <w:rsid w:val="15DB629E"/>
    <w:rsid w:val="15FF0E80"/>
    <w:rsid w:val="16087E1D"/>
    <w:rsid w:val="16322361"/>
    <w:rsid w:val="16377978"/>
    <w:rsid w:val="16665B22"/>
    <w:rsid w:val="16A3500D"/>
    <w:rsid w:val="16A92BBA"/>
    <w:rsid w:val="16C65A76"/>
    <w:rsid w:val="16D81328"/>
    <w:rsid w:val="16E34270"/>
    <w:rsid w:val="16FD6DFC"/>
    <w:rsid w:val="170878B8"/>
    <w:rsid w:val="1715758D"/>
    <w:rsid w:val="17357707"/>
    <w:rsid w:val="17701D14"/>
    <w:rsid w:val="17710C68"/>
    <w:rsid w:val="17735226"/>
    <w:rsid w:val="17746BAA"/>
    <w:rsid w:val="177B2407"/>
    <w:rsid w:val="177C11E9"/>
    <w:rsid w:val="17BD20FF"/>
    <w:rsid w:val="17F90C5D"/>
    <w:rsid w:val="181A2C17"/>
    <w:rsid w:val="187205F4"/>
    <w:rsid w:val="189F624C"/>
    <w:rsid w:val="18B52DD6"/>
    <w:rsid w:val="191626B7"/>
    <w:rsid w:val="19A23883"/>
    <w:rsid w:val="19A61641"/>
    <w:rsid w:val="19C90A96"/>
    <w:rsid w:val="19FC75D7"/>
    <w:rsid w:val="1A1113E5"/>
    <w:rsid w:val="1A1C66C0"/>
    <w:rsid w:val="1A42393B"/>
    <w:rsid w:val="1A7A42D7"/>
    <w:rsid w:val="1A9A2283"/>
    <w:rsid w:val="1AAD45DE"/>
    <w:rsid w:val="1AF16E44"/>
    <w:rsid w:val="1B046F80"/>
    <w:rsid w:val="1B3267B5"/>
    <w:rsid w:val="1B40161D"/>
    <w:rsid w:val="1B441859"/>
    <w:rsid w:val="1B6606B1"/>
    <w:rsid w:val="1BA31C43"/>
    <w:rsid w:val="1BC1139B"/>
    <w:rsid w:val="1BC11A92"/>
    <w:rsid w:val="1BD45C69"/>
    <w:rsid w:val="1BE20386"/>
    <w:rsid w:val="1C050D22"/>
    <w:rsid w:val="1C5E7925"/>
    <w:rsid w:val="1C6F14EE"/>
    <w:rsid w:val="1C87490C"/>
    <w:rsid w:val="1CA3724C"/>
    <w:rsid w:val="1CDC4DD5"/>
    <w:rsid w:val="1CFD070F"/>
    <w:rsid w:val="1D531CEF"/>
    <w:rsid w:val="1D5F6196"/>
    <w:rsid w:val="1D6132A5"/>
    <w:rsid w:val="1D6923E1"/>
    <w:rsid w:val="1D741D7F"/>
    <w:rsid w:val="1D8E56D5"/>
    <w:rsid w:val="1D9E2F6D"/>
    <w:rsid w:val="1DDE692B"/>
    <w:rsid w:val="1E067C30"/>
    <w:rsid w:val="1E205195"/>
    <w:rsid w:val="1E5B441F"/>
    <w:rsid w:val="1E7A43DA"/>
    <w:rsid w:val="1EA90CE7"/>
    <w:rsid w:val="1ED9477E"/>
    <w:rsid w:val="1F727C25"/>
    <w:rsid w:val="1FE7539E"/>
    <w:rsid w:val="20671BE0"/>
    <w:rsid w:val="2076109D"/>
    <w:rsid w:val="20963CB8"/>
    <w:rsid w:val="209B2C72"/>
    <w:rsid w:val="209D487B"/>
    <w:rsid w:val="20A81A1B"/>
    <w:rsid w:val="20B07FB6"/>
    <w:rsid w:val="20B646FB"/>
    <w:rsid w:val="20EF3BC1"/>
    <w:rsid w:val="20FC7648"/>
    <w:rsid w:val="211550E9"/>
    <w:rsid w:val="21183B39"/>
    <w:rsid w:val="213B74B1"/>
    <w:rsid w:val="213C3006"/>
    <w:rsid w:val="215A2310"/>
    <w:rsid w:val="21B55BF5"/>
    <w:rsid w:val="21DE318A"/>
    <w:rsid w:val="21EF5B80"/>
    <w:rsid w:val="22525B39"/>
    <w:rsid w:val="22576990"/>
    <w:rsid w:val="22BF0840"/>
    <w:rsid w:val="22EB66BE"/>
    <w:rsid w:val="22F41128"/>
    <w:rsid w:val="22F47480"/>
    <w:rsid w:val="23030A08"/>
    <w:rsid w:val="23307EA6"/>
    <w:rsid w:val="23A75A11"/>
    <w:rsid w:val="23DE1C48"/>
    <w:rsid w:val="23DF51AB"/>
    <w:rsid w:val="240210CD"/>
    <w:rsid w:val="241B6C18"/>
    <w:rsid w:val="243710B4"/>
    <w:rsid w:val="24547947"/>
    <w:rsid w:val="247973AD"/>
    <w:rsid w:val="248718B7"/>
    <w:rsid w:val="248C2D86"/>
    <w:rsid w:val="24BF09F7"/>
    <w:rsid w:val="24CA5E5B"/>
    <w:rsid w:val="24F42ED8"/>
    <w:rsid w:val="252D53FE"/>
    <w:rsid w:val="253C2359"/>
    <w:rsid w:val="25A63292"/>
    <w:rsid w:val="25D76C48"/>
    <w:rsid w:val="25EC2D81"/>
    <w:rsid w:val="2604539D"/>
    <w:rsid w:val="261A696E"/>
    <w:rsid w:val="26204375"/>
    <w:rsid w:val="2640208A"/>
    <w:rsid w:val="267B1C9E"/>
    <w:rsid w:val="270651E8"/>
    <w:rsid w:val="270A0791"/>
    <w:rsid w:val="277057A2"/>
    <w:rsid w:val="277274C0"/>
    <w:rsid w:val="27AC35F6"/>
    <w:rsid w:val="27C9327E"/>
    <w:rsid w:val="27D052BB"/>
    <w:rsid w:val="281F64BE"/>
    <w:rsid w:val="28570666"/>
    <w:rsid w:val="286640ED"/>
    <w:rsid w:val="28722A91"/>
    <w:rsid w:val="28992B0F"/>
    <w:rsid w:val="289C21DF"/>
    <w:rsid w:val="28E15521"/>
    <w:rsid w:val="28F61252"/>
    <w:rsid w:val="290F0101"/>
    <w:rsid w:val="29206EB8"/>
    <w:rsid w:val="29231FDE"/>
    <w:rsid w:val="29450045"/>
    <w:rsid w:val="29583A35"/>
    <w:rsid w:val="29595666"/>
    <w:rsid w:val="29874881"/>
    <w:rsid w:val="29915199"/>
    <w:rsid w:val="299B1B74"/>
    <w:rsid w:val="29B55BD2"/>
    <w:rsid w:val="29C56BF1"/>
    <w:rsid w:val="29E325E0"/>
    <w:rsid w:val="29EF6D69"/>
    <w:rsid w:val="29FD638B"/>
    <w:rsid w:val="2A0B0AA8"/>
    <w:rsid w:val="2A452503"/>
    <w:rsid w:val="2AE95F1C"/>
    <w:rsid w:val="2B0665C2"/>
    <w:rsid w:val="2B4905D2"/>
    <w:rsid w:val="2B8A00F2"/>
    <w:rsid w:val="2B8F5708"/>
    <w:rsid w:val="2B966A97"/>
    <w:rsid w:val="2BA37FA5"/>
    <w:rsid w:val="2BA936A8"/>
    <w:rsid w:val="2C027C88"/>
    <w:rsid w:val="2C13585D"/>
    <w:rsid w:val="2C315A5A"/>
    <w:rsid w:val="2C4B1C25"/>
    <w:rsid w:val="2C5A7803"/>
    <w:rsid w:val="2C9C00DD"/>
    <w:rsid w:val="2CC26EA8"/>
    <w:rsid w:val="2D3B5B48"/>
    <w:rsid w:val="2D8C63A3"/>
    <w:rsid w:val="2D9E56F5"/>
    <w:rsid w:val="2DF33D2D"/>
    <w:rsid w:val="2E1135A2"/>
    <w:rsid w:val="2E262354"/>
    <w:rsid w:val="2E5F7614"/>
    <w:rsid w:val="2E667F96"/>
    <w:rsid w:val="2E6966E5"/>
    <w:rsid w:val="2E6E3EC5"/>
    <w:rsid w:val="2E7B1F74"/>
    <w:rsid w:val="2E8226AB"/>
    <w:rsid w:val="2E840E29"/>
    <w:rsid w:val="2ECE3558"/>
    <w:rsid w:val="2EE50693"/>
    <w:rsid w:val="2EE5675B"/>
    <w:rsid w:val="2F0C4D9C"/>
    <w:rsid w:val="2F0C6F1E"/>
    <w:rsid w:val="2F1E5FD5"/>
    <w:rsid w:val="2F3A1A44"/>
    <w:rsid w:val="2FAB25CA"/>
    <w:rsid w:val="2FC61E09"/>
    <w:rsid w:val="2FD065E6"/>
    <w:rsid w:val="2FD933F6"/>
    <w:rsid w:val="2FD96870"/>
    <w:rsid w:val="2FF132CF"/>
    <w:rsid w:val="30506AD9"/>
    <w:rsid w:val="30580BC9"/>
    <w:rsid w:val="30ED7159"/>
    <w:rsid w:val="311E2ED7"/>
    <w:rsid w:val="31273F18"/>
    <w:rsid w:val="314978EC"/>
    <w:rsid w:val="3150593A"/>
    <w:rsid w:val="315619EE"/>
    <w:rsid w:val="315C449C"/>
    <w:rsid w:val="317B4E41"/>
    <w:rsid w:val="31B82709"/>
    <w:rsid w:val="31D05482"/>
    <w:rsid w:val="32400B34"/>
    <w:rsid w:val="329E6876"/>
    <w:rsid w:val="32FA3129"/>
    <w:rsid w:val="32FE53B5"/>
    <w:rsid w:val="331F7372"/>
    <w:rsid w:val="33217D3D"/>
    <w:rsid w:val="333015F2"/>
    <w:rsid w:val="334B6320"/>
    <w:rsid w:val="33615BDC"/>
    <w:rsid w:val="3381627F"/>
    <w:rsid w:val="33997124"/>
    <w:rsid w:val="339A25B0"/>
    <w:rsid w:val="33D934D4"/>
    <w:rsid w:val="33D97E69"/>
    <w:rsid w:val="33E81E5A"/>
    <w:rsid w:val="33E83A80"/>
    <w:rsid w:val="33FE2F6A"/>
    <w:rsid w:val="340E07E5"/>
    <w:rsid w:val="34235BF7"/>
    <w:rsid w:val="346E1C27"/>
    <w:rsid w:val="34890853"/>
    <w:rsid w:val="34AA5361"/>
    <w:rsid w:val="34BB756E"/>
    <w:rsid w:val="351153E0"/>
    <w:rsid w:val="351D3D85"/>
    <w:rsid w:val="35245113"/>
    <w:rsid w:val="352B4FC9"/>
    <w:rsid w:val="3551083B"/>
    <w:rsid w:val="35577112"/>
    <w:rsid w:val="356279A7"/>
    <w:rsid w:val="35636441"/>
    <w:rsid w:val="35656C57"/>
    <w:rsid w:val="358C5FA8"/>
    <w:rsid w:val="35987004"/>
    <w:rsid w:val="35A3428A"/>
    <w:rsid w:val="35C15DF1"/>
    <w:rsid w:val="35EF56A7"/>
    <w:rsid w:val="36074A7F"/>
    <w:rsid w:val="36092C93"/>
    <w:rsid w:val="36923549"/>
    <w:rsid w:val="36987B67"/>
    <w:rsid w:val="36B75FBF"/>
    <w:rsid w:val="36BD0C45"/>
    <w:rsid w:val="36ED3FF0"/>
    <w:rsid w:val="370A20E7"/>
    <w:rsid w:val="372376B1"/>
    <w:rsid w:val="374643BF"/>
    <w:rsid w:val="37614B2E"/>
    <w:rsid w:val="37E00298"/>
    <w:rsid w:val="37E648BA"/>
    <w:rsid w:val="37EB60E2"/>
    <w:rsid w:val="38367638"/>
    <w:rsid w:val="38AA3B82"/>
    <w:rsid w:val="38B302F9"/>
    <w:rsid w:val="38C021E2"/>
    <w:rsid w:val="38D9093C"/>
    <w:rsid w:val="38F12CD3"/>
    <w:rsid w:val="38F94775"/>
    <w:rsid w:val="392971ED"/>
    <w:rsid w:val="39325651"/>
    <w:rsid w:val="3991089E"/>
    <w:rsid w:val="39DC71D8"/>
    <w:rsid w:val="3A0948D8"/>
    <w:rsid w:val="3A3B03E8"/>
    <w:rsid w:val="3A4B4EF0"/>
    <w:rsid w:val="3A7F2A8C"/>
    <w:rsid w:val="3A872856"/>
    <w:rsid w:val="3B0D6E8B"/>
    <w:rsid w:val="3B133C60"/>
    <w:rsid w:val="3B293484"/>
    <w:rsid w:val="3B2D04C8"/>
    <w:rsid w:val="3B3763D1"/>
    <w:rsid w:val="3B3B26B4"/>
    <w:rsid w:val="3B633EE6"/>
    <w:rsid w:val="3B7B3AA4"/>
    <w:rsid w:val="3C026603"/>
    <w:rsid w:val="3C2F6E1E"/>
    <w:rsid w:val="3C357E30"/>
    <w:rsid w:val="3C4F64BA"/>
    <w:rsid w:val="3C504A40"/>
    <w:rsid w:val="3C5A0F58"/>
    <w:rsid w:val="3CDA245A"/>
    <w:rsid w:val="3CE82ECA"/>
    <w:rsid w:val="3CEB057D"/>
    <w:rsid w:val="3CFD6976"/>
    <w:rsid w:val="3D145DC3"/>
    <w:rsid w:val="3D1E06B7"/>
    <w:rsid w:val="3D3A24DE"/>
    <w:rsid w:val="3DB80AEF"/>
    <w:rsid w:val="3DC56D68"/>
    <w:rsid w:val="3DD56305"/>
    <w:rsid w:val="3E66679D"/>
    <w:rsid w:val="3EAF081B"/>
    <w:rsid w:val="3ED835C0"/>
    <w:rsid w:val="3EDA0523"/>
    <w:rsid w:val="3F060B3B"/>
    <w:rsid w:val="3F125E36"/>
    <w:rsid w:val="3F347611"/>
    <w:rsid w:val="3F9F1F66"/>
    <w:rsid w:val="3F9F2BDC"/>
    <w:rsid w:val="3FBF6165"/>
    <w:rsid w:val="40192ED1"/>
    <w:rsid w:val="4044666A"/>
    <w:rsid w:val="406214AE"/>
    <w:rsid w:val="406E1939"/>
    <w:rsid w:val="406E36E7"/>
    <w:rsid w:val="40721429"/>
    <w:rsid w:val="407A6407"/>
    <w:rsid w:val="408F1FDB"/>
    <w:rsid w:val="412A5860"/>
    <w:rsid w:val="41474664"/>
    <w:rsid w:val="4188259D"/>
    <w:rsid w:val="41B96BE3"/>
    <w:rsid w:val="41D72450"/>
    <w:rsid w:val="41F06AA9"/>
    <w:rsid w:val="4200449D"/>
    <w:rsid w:val="42044303"/>
    <w:rsid w:val="420E5181"/>
    <w:rsid w:val="423A3BCC"/>
    <w:rsid w:val="424E57D2"/>
    <w:rsid w:val="42B26C49"/>
    <w:rsid w:val="433A6FE6"/>
    <w:rsid w:val="433B34ED"/>
    <w:rsid w:val="43480868"/>
    <w:rsid w:val="4350713C"/>
    <w:rsid w:val="436653E0"/>
    <w:rsid w:val="43C4431A"/>
    <w:rsid w:val="441768A6"/>
    <w:rsid w:val="44427364"/>
    <w:rsid w:val="44692B43"/>
    <w:rsid w:val="44B951CC"/>
    <w:rsid w:val="44C5671F"/>
    <w:rsid w:val="44CD14E0"/>
    <w:rsid w:val="44CE67D1"/>
    <w:rsid w:val="44D34460"/>
    <w:rsid w:val="44F20B0B"/>
    <w:rsid w:val="452E5F4C"/>
    <w:rsid w:val="453F3B2A"/>
    <w:rsid w:val="45466251"/>
    <w:rsid w:val="454E129B"/>
    <w:rsid w:val="45612018"/>
    <w:rsid w:val="458946E9"/>
    <w:rsid w:val="45A47C0E"/>
    <w:rsid w:val="45E561F9"/>
    <w:rsid w:val="46007B33"/>
    <w:rsid w:val="461F3F1D"/>
    <w:rsid w:val="462D6C1B"/>
    <w:rsid w:val="46577FD6"/>
    <w:rsid w:val="46687A77"/>
    <w:rsid w:val="46C27E2B"/>
    <w:rsid w:val="46D955A7"/>
    <w:rsid w:val="46E14A18"/>
    <w:rsid w:val="46E513B8"/>
    <w:rsid w:val="47133957"/>
    <w:rsid w:val="47A07E0C"/>
    <w:rsid w:val="47E23BB5"/>
    <w:rsid w:val="48172D6C"/>
    <w:rsid w:val="482B328E"/>
    <w:rsid w:val="48467E55"/>
    <w:rsid w:val="4870272E"/>
    <w:rsid w:val="48741AB6"/>
    <w:rsid w:val="48904B42"/>
    <w:rsid w:val="48A24875"/>
    <w:rsid w:val="48AE3D5B"/>
    <w:rsid w:val="48CE6129"/>
    <w:rsid w:val="48DB38E3"/>
    <w:rsid w:val="48EE1869"/>
    <w:rsid w:val="49310A7D"/>
    <w:rsid w:val="493E352A"/>
    <w:rsid w:val="493F0316"/>
    <w:rsid w:val="495711BC"/>
    <w:rsid w:val="495C4A24"/>
    <w:rsid w:val="49DC7715"/>
    <w:rsid w:val="49F03707"/>
    <w:rsid w:val="4A023139"/>
    <w:rsid w:val="4A17094B"/>
    <w:rsid w:val="4A2D6D74"/>
    <w:rsid w:val="4A783980"/>
    <w:rsid w:val="4A7B576F"/>
    <w:rsid w:val="4AA25A33"/>
    <w:rsid w:val="4AF561A9"/>
    <w:rsid w:val="4B0931B3"/>
    <w:rsid w:val="4B0E7FA0"/>
    <w:rsid w:val="4B71615C"/>
    <w:rsid w:val="4B812426"/>
    <w:rsid w:val="4B992215"/>
    <w:rsid w:val="4BCC75FB"/>
    <w:rsid w:val="4C137A41"/>
    <w:rsid w:val="4C176F5D"/>
    <w:rsid w:val="4C2F251F"/>
    <w:rsid w:val="4C37194B"/>
    <w:rsid w:val="4C453CFD"/>
    <w:rsid w:val="4C4A0649"/>
    <w:rsid w:val="4C6A38FC"/>
    <w:rsid w:val="4C7E5ECA"/>
    <w:rsid w:val="4C83051A"/>
    <w:rsid w:val="4C8469F2"/>
    <w:rsid w:val="4C876AA5"/>
    <w:rsid w:val="4CEA67EB"/>
    <w:rsid w:val="4D0624DE"/>
    <w:rsid w:val="4D0E00FB"/>
    <w:rsid w:val="4D176606"/>
    <w:rsid w:val="4D630768"/>
    <w:rsid w:val="4DEC4FB0"/>
    <w:rsid w:val="4DF2028E"/>
    <w:rsid w:val="4E075D8A"/>
    <w:rsid w:val="4E5C61EB"/>
    <w:rsid w:val="4EC00FAD"/>
    <w:rsid w:val="4EE67E38"/>
    <w:rsid w:val="4EE72FE2"/>
    <w:rsid w:val="4F6574F7"/>
    <w:rsid w:val="4F6E54B1"/>
    <w:rsid w:val="4F9843DC"/>
    <w:rsid w:val="4FC62A8C"/>
    <w:rsid w:val="4FE20F0D"/>
    <w:rsid w:val="4FE51552"/>
    <w:rsid w:val="50504C4B"/>
    <w:rsid w:val="50615016"/>
    <w:rsid w:val="509C6E7C"/>
    <w:rsid w:val="509F6E0B"/>
    <w:rsid w:val="5162104E"/>
    <w:rsid w:val="517F7502"/>
    <w:rsid w:val="51C068B1"/>
    <w:rsid w:val="51D33CF1"/>
    <w:rsid w:val="522400A9"/>
    <w:rsid w:val="52304CA0"/>
    <w:rsid w:val="523D116B"/>
    <w:rsid w:val="528B01CF"/>
    <w:rsid w:val="529D410E"/>
    <w:rsid w:val="53125CAF"/>
    <w:rsid w:val="5319609F"/>
    <w:rsid w:val="53444565"/>
    <w:rsid w:val="535924F8"/>
    <w:rsid w:val="5376282B"/>
    <w:rsid w:val="53A039CC"/>
    <w:rsid w:val="53A1505A"/>
    <w:rsid w:val="53F86552"/>
    <w:rsid w:val="54063E08"/>
    <w:rsid w:val="541274AF"/>
    <w:rsid w:val="54287E46"/>
    <w:rsid w:val="543437E8"/>
    <w:rsid w:val="545C7001"/>
    <w:rsid w:val="546F6837"/>
    <w:rsid w:val="54F73313"/>
    <w:rsid w:val="54F80955"/>
    <w:rsid w:val="553559D8"/>
    <w:rsid w:val="555170A7"/>
    <w:rsid w:val="55545149"/>
    <w:rsid w:val="5587536D"/>
    <w:rsid w:val="559B174B"/>
    <w:rsid w:val="55CE0CF4"/>
    <w:rsid w:val="56010E2D"/>
    <w:rsid w:val="565D002E"/>
    <w:rsid w:val="566E223B"/>
    <w:rsid w:val="56B22A9C"/>
    <w:rsid w:val="56C854A7"/>
    <w:rsid w:val="56FA762A"/>
    <w:rsid w:val="575651A9"/>
    <w:rsid w:val="57641F8B"/>
    <w:rsid w:val="57790E97"/>
    <w:rsid w:val="57A74AE6"/>
    <w:rsid w:val="57AC301B"/>
    <w:rsid w:val="57B72A76"/>
    <w:rsid w:val="57C3426C"/>
    <w:rsid w:val="57CE1F93"/>
    <w:rsid w:val="57D129FA"/>
    <w:rsid w:val="57E83927"/>
    <w:rsid w:val="57EE53E1"/>
    <w:rsid w:val="58382B00"/>
    <w:rsid w:val="584A1EE3"/>
    <w:rsid w:val="588743D1"/>
    <w:rsid w:val="5887701A"/>
    <w:rsid w:val="58FE3646"/>
    <w:rsid w:val="59341153"/>
    <w:rsid w:val="593C6736"/>
    <w:rsid w:val="599E1C4B"/>
    <w:rsid w:val="59A33FA9"/>
    <w:rsid w:val="59C0439F"/>
    <w:rsid w:val="59C609FF"/>
    <w:rsid w:val="59CF4D9E"/>
    <w:rsid w:val="59DB1907"/>
    <w:rsid w:val="5A0A493E"/>
    <w:rsid w:val="5A0C6735"/>
    <w:rsid w:val="5A1350B0"/>
    <w:rsid w:val="5A513A05"/>
    <w:rsid w:val="5A91744E"/>
    <w:rsid w:val="5ABE2233"/>
    <w:rsid w:val="5AE825BC"/>
    <w:rsid w:val="5AE900E2"/>
    <w:rsid w:val="5B783AE7"/>
    <w:rsid w:val="5B8C518A"/>
    <w:rsid w:val="5BB701E0"/>
    <w:rsid w:val="5BC9220A"/>
    <w:rsid w:val="5BDF5D95"/>
    <w:rsid w:val="5BFE26BB"/>
    <w:rsid w:val="5BFE7528"/>
    <w:rsid w:val="5C34538D"/>
    <w:rsid w:val="5C3A6E47"/>
    <w:rsid w:val="5C4F0418"/>
    <w:rsid w:val="5C500E18"/>
    <w:rsid w:val="5C9E3955"/>
    <w:rsid w:val="5CF568E7"/>
    <w:rsid w:val="5DA43280"/>
    <w:rsid w:val="5DED7523"/>
    <w:rsid w:val="5DFD3BB5"/>
    <w:rsid w:val="5E2467F1"/>
    <w:rsid w:val="5E2F0501"/>
    <w:rsid w:val="5E361890"/>
    <w:rsid w:val="5E647ACE"/>
    <w:rsid w:val="5E705C15"/>
    <w:rsid w:val="5F1A2B43"/>
    <w:rsid w:val="5F4955F3"/>
    <w:rsid w:val="5F9C5723"/>
    <w:rsid w:val="5FB07420"/>
    <w:rsid w:val="5FB837BB"/>
    <w:rsid w:val="600F2399"/>
    <w:rsid w:val="60CC405A"/>
    <w:rsid w:val="60FF240D"/>
    <w:rsid w:val="611A079F"/>
    <w:rsid w:val="61430B52"/>
    <w:rsid w:val="619D0D68"/>
    <w:rsid w:val="61D373F6"/>
    <w:rsid w:val="61E215D8"/>
    <w:rsid w:val="62001846"/>
    <w:rsid w:val="621B3775"/>
    <w:rsid w:val="62364782"/>
    <w:rsid w:val="62C751AC"/>
    <w:rsid w:val="631345CC"/>
    <w:rsid w:val="631F0B45"/>
    <w:rsid w:val="631F6D97"/>
    <w:rsid w:val="635F3637"/>
    <w:rsid w:val="638246F4"/>
    <w:rsid w:val="6394356A"/>
    <w:rsid w:val="63C61B2C"/>
    <w:rsid w:val="63CF256B"/>
    <w:rsid w:val="63D40BE9"/>
    <w:rsid w:val="63E8362C"/>
    <w:rsid w:val="63EB6BBE"/>
    <w:rsid w:val="63F3457C"/>
    <w:rsid w:val="640D3A65"/>
    <w:rsid w:val="64102431"/>
    <w:rsid w:val="641C6ADB"/>
    <w:rsid w:val="645111D2"/>
    <w:rsid w:val="64A5243A"/>
    <w:rsid w:val="64CE5F03"/>
    <w:rsid w:val="64F531DE"/>
    <w:rsid w:val="65073A49"/>
    <w:rsid w:val="650C0A6A"/>
    <w:rsid w:val="65373578"/>
    <w:rsid w:val="65E06FC3"/>
    <w:rsid w:val="663B4D9B"/>
    <w:rsid w:val="66434B4A"/>
    <w:rsid w:val="671F124A"/>
    <w:rsid w:val="6722074B"/>
    <w:rsid w:val="677A33C6"/>
    <w:rsid w:val="67D070E2"/>
    <w:rsid w:val="67DA3A72"/>
    <w:rsid w:val="67E33D49"/>
    <w:rsid w:val="681F6961"/>
    <w:rsid w:val="682B3DE9"/>
    <w:rsid w:val="685E3EBD"/>
    <w:rsid w:val="68610A2F"/>
    <w:rsid w:val="68805514"/>
    <w:rsid w:val="68CA1553"/>
    <w:rsid w:val="68E322A8"/>
    <w:rsid w:val="69316E2F"/>
    <w:rsid w:val="694E2071"/>
    <w:rsid w:val="6954706E"/>
    <w:rsid w:val="69766163"/>
    <w:rsid w:val="697A3B33"/>
    <w:rsid w:val="698A2A90"/>
    <w:rsid w:val="69967687"/>
    <w:rsid w:val="69D44760"/>
    <w:rsid w:val="69E46644"/>
    <w:rsid w:val="69EC374B"/>
    <w:rsid w:val="6A42626C"/>
    <w:rsid w:val="6A520EC7"/>
    <w:rsid w:val="6A815C41"/>
    <w:rsid w:val="6AB2229E"/>
    <w:rsid w:val="6AED0E39"/>
    <w:rsid w:val="6AF04B38"/>
    <w:rsid w:val="6AF87E20"/>
    <w:rsid w:val="6B322639"/>
    <w:rsid w:val="6B574BF4"/>
    <w:rsid w:val="6B7D2B1D"/>
    <w:rsid w:val="6B9D78F2"/>
    <w:rsid w:val="6BE24E05"/>
    <w:rsid w:val="6C1F2F99"/>
    <w:rsid w:val="6C636C38"/>
    <w:rsid w:val="6C951E77"/>
    <w:rsid w:val="6CB155E2"/>
    <w:rsid w:val="6CF47A5F"/>
    <w:rsid w:val="6D0B60C1"/>
    <w:rsid w:val="6D793547"/>
    <w:rsid w:val="6D7B7BB2"/>
    <w:rsid w:val="6DB34098"/>
    <w:rsid w:val="6DB500D0"/>
    <w:rsid w:val="6DB545B6"/>
    <w:rsid w:val="6DB56E9E"/>
    <w:rsid w:val="6DC10768"/>
    <w:rsid w:val="6DE02FB4"/>
    <w:rsid w:val="6DEF558A"/>
    <w:rsid w:val="6E250FD9"/>
    <w:rsid w:val="6E337B9A"/>
    <w:rsid w:val="6E514CED"/>
    <w:rsid w:val="6EB563D5"/>
    <w:rsid w:val="6ED92677"/>
    <w:rsid w:val="6EFF182A"/>
    <w:rsid w:val="6F225983"/>
    <w:rsid w:val="6F9401C4"/>
    <w:rsid w:val="6F975F07"/>
    <w:rsid w:val="6F994798"/>
    <w:rsid w:val="6FD13B9E"/>
    <w:rsid w:val="6FE205B2"/>
    <w:rsid w:val="6FEA6A9E"/>
    <w:rsid w:val="6FF94903"/>
    <w:rsid w:val="6FFC5590"/>
    <w:rsid w:val="705160B5"/>
    <w:rsid w:val="705E44AE"/>
    <w:rsid w:val="706D1DD0"/>
    <w:rsid w:val="70856B87"/>
    <w:rsid w:val="70AD18CC"/>
    <w:rsid w:val="70D527EE"/>
    <w:rsid w:val="710D3545"/>
    <w:rsid w:val="715B5300"/>
    <w:rsid w:val="71D27F8A"/>
    <w:rsid w:val="72023B0B"/>
    <w:rsid w:val="722021E3"/>
    <w:rsid w:val="722D3D7D"/>
    <w:rsid w:val="724E4B0C"/>
    <w:rsid w:val="72553024"/>
    <w:rsid w:val="728C7879"/>
    <w:rsid w:val="729412C9"/>
    <w:rsid w:val="72E2393D"/>
    <w:rsid w:val="72E27499"/>
    <w:rsid w:val="73122968"/>
    <w:rsid w:val="731F5D5E"/>
    <w:rsid w:val="732B0EBE"/>
    <w:rsid w:val="7376426B"/>
    <w:rsid w:val="73B0236C"/>
    <w:rsid w:val="73C51AD5"/>
    <w:rsid w:val="741E793C"/>
    <w:rsid w:val="745E3944"/>
    <w:rsid w:val="748B3D8C"/>
    <w:rsid w:val="74904150"/>
    <w:rsid w:val="749455FB"/>
    <w:rsid w:val="749C0FFA"/>
    <w:rsid w:val="74DB6895"/>
    <w:rsid w:val="75295853"/>
    <w:rsid w:val="75343B4F"/>
    <w:rsid w:val="75564988"/>
    <w:rsid w:val="756D5C62"/>
    <w:rsid w:val="75AE51B3"/>
    <w:rsid w:val="7635099D"/>
    <w:rsid w:val="76461B5C"/>
    <w:rsid w:val="76497DC9"/>
    <w:rsid w:val="76B64EC4"/>
    <w:rsid w:val="76BE7C3B"/>
    <w:rsid w:val="76F93003"/>
    <w:rsid w:val="77420E4E"/>
    <w:rsid w:val="77536215"/>
    <w:rsid w:val="77762421"/>
    <w:rsid w:val="7789082B"/>
    <w:rsid w:val="77B56B1F"/>
    <w:rsid w:val="77D777E8"/>
    <w:rsid w:val="77D870BC"/>
    <w:rsid w:val="77E7043C"/>
    <w:rsid w:val="780F09F4"/>
    <w:rsid w:val="78597C58"/>
    <w:rsid w:val="788D5058"/>
    <w:rsid w:val="78A43B6E"/>
    <w:rsid w:val="78A90480"/>
    <w:rsid w:val="78AC47D1"/>
    <w:rsid w:val="78AE7934"/>
    <w:rsid w:val="79213E94"/>
    <w:rsid w:val="79386064"/>
    <w:rsid w:val="795E24FC"/>
    <w:rsid w:val="79B26E68"/>
    <w:rsid w:val="79E4668B"/>
    <w:rsid w:val="7A2E4784"/>
    <w:rsid w:val="7A364017"/>
    <w:rsid w:val="7A5A025C"/>
    <w:rsid w:val="7A5B5C9A"/>
    <w:rsid w:val="7A6115EB"/>
    <w:rsid w:val="7A8265E1"/>
    <w:rsid w:val="7A9750AD"/>
    <w:rsid w:val="7AAD2A82"/>
    <w:rsid w:val="7AD576B7"/>
    <w:rsid w:val="7B12399A"/>
    <w:rsid w:val="7B580C40"/>
    <w:rsid w:val="7B684D6B"/>
    <w:rsid w:val="7B686D42"/>
    <w:rsid w:val="7B6E1C07"/>
    <w:rsid w:val="7B841746"/>
    <w:rsid w:val="7BBF2A6D"/>
    <w:rsid w:val="7BF73FB5"/>
    <w:rsid w:val="7C0E12FE"/>
    <w:rsid w:val="7C172B36"/>
    <w:rsid w:val="7C6C5AC7"/>
    <w:rsid w:val="7C6D4277"/>
    <w:rsid w:val="7CC6544B"/>
    <w:rsid w:val="7CD519BB"/>
    <w:rsid w:val="7D0239FF"/>
    <w:rsid w:val="7D1943FF"/>
    <w:rsid w:val="7D1D3EEF"/>
    <w:rsid w:val="7D382AD7"/>
    <w:rsid w:val="7D480840"/>
    <w:rsid w:val="7D5E40CD"/>
    <w:rsid w:val="7D7A1B55"/>
    <w:rsid w:val="7D831878"/>
    <w:rsid w:val="7DBA0F25"/>
    <w:rsid w:val="7DCD56F2"/>
    <w:rsid w:val="7E09286B"/>
    <w:rsid w:val="7E69725C"/>
    <w:rsid w:val="7E904296"/>
    <w:rsid w:val="7E952C57"/>
    <w:rsid w:val="7E9C0E44"/>
    <w:rsid w:val="7EFA38E8"/>
    <w:rsid w:val="7F001CE7"/>
    <w:rsid w:val="7F2C21C7"/>
    <w:rsid w:val="7F431E06"/>
    <w:rsid w:val="7F7B10B3"/>
    <w:rsid w:val="7F862FD7"/>
    <w:rsid w:val="7FB73496"/>
    <w:rsid w:val="7FCA62C5"/>
    <w:rsid w:val="7FDA5C0C"/>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ocked="1"/>
    <w:lsdException w:uiPriority="0" w:name="index 2" w:locked="1"/>
    <w:lsdException w:uiPriority="0" w:name="index 3" w:locked="1"/>
    <w:lsdException w:uiPriority="0" w:name="index 4" w:locked="1"/>
    <w:lsdException w:uiPriority="0" w:name="index 5" w:locked="1"/>
    <w:lsdException w:uiPriority="0" w:name="index 6" w:locked="1"/>
    <w:lsdException w:uiPriority="0" w:name="index 7" w:locked="1"/>
    <w:lsdException w:uiPriority="0" w:name="index 8" w:locked="1"/>
    <w:lsdException w:uiPriority="0" w:name="index 9" w:locked="1"/>
    <w:lsdException w:qFormat="1" w:uiPriority="39" w:semiHidden="0" w:name="toc 1" w:locked="1"/>
    <w:lsdException w:qFormat="1"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0" w:semiHidden="0" w:name="Normal Indent" w:locked="1"/>
    <w:lsdException w:uiPriority="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ocked="1"/>
    <w:lsdException w:qFormat="1" w:uiPriority="0" w:semiHidden="0" w:name="caption" w:locked="1"/>
    <w:lsdException w:qFormat="1" w:unhideWhenUsed="0" w:uiPriority="0" w:semiHidden="0" w:name="table of figures" w:locked="1"/>
    <w:lsdException w:uiPriority="0" w:name="envelope address" w:locked="1"/>
    <w:lsdException w:uiPriority="0" w:name="envelope return" w:locked="1"/>
    <w:lsdException w:uiPriority="0" w:name="footnote reference" w:locked="1"/>
    <w:lsdException w:qFormat="1" w:unhideWhenUsed="0" w:uiPriority="0" w:name="annotation reference"/>
    <w:lsdException w:uiPriority="0" w:name="line number" w:locked="1"/>
    <w:lsdException w:qFormat="1" w:unhideWhenUsed="0" w:uiPriority="0" w:semiHidden="0" w:name="page number" w:locked="1"/>
    <w:lsdException w:uiPriority="0" w:name="endnote reference" w:locked="1"/>
    <w:lsdException w:uiPriority="0" w:name="endnote text" w:locked="1"/>
    <w:lsdException w:unhideWhenUsed="0" w:uiPriority="0" w:semiHidden="0" w:name="table of authorities" w:locked="1"/>
    <w:lsdException w:uiPriority="0" w:name="macro" w:locked="1"/>
    <w:lsdException w:uiPriority="0" w:name="toa heading" w:locked="1"/>
    <w:lsdException w:qFormat="1" w:unhideWhenUsed="0" w:uiPriority="0" w:semiHidden="0" w:name="List" w:locked="1"/>
    <w:lsdException w:unhideWhenUsed="0" w:uiPriority="0" w:semiHidden="0" w:name="List Bullet" w:locked="1"/>
    <w:lsdException w:uiPriority="0" w:name="List Number" w:locked="1"/>
    <w:lsdException w:uiPriority="0" w:name="List 2" w:locked="1"/>
    <w:lsdException w:uiPriority="0" w:name="List 3" w:locked="1"/>
    <w:lsdException w:uiPriority="0" w:name="List 4" w:locked="1"/>
    <w:lsdException w:uiPriority="0" w:name="List 5" w:locked="1"/>
    <w:lsdException w:uiPriority="0" w:name="List Bullet 2" w:locked="1"/>
    <w:lsdException w:uiPriority="0" w:name="List Bullet 3" w:locked="1"/>
    <w:lsdException w:uiPriority="0" w:name="List Bullet 4" w:locked="1"/>
    <w:lsdException w:uiPriority="0" w:name="List Bullet 5" w:locked="1"/>
    <w:lsdException w:uiPriority="0" w:name="List Number 2" w:locked="1"/>
    <w:lsdException w:uiPriority="0" w:name="List Number 3" w:locked="1"/>
    <w:lsdException w:uiPriority="0" w:name="List Number 4" w:locked="1"/>
    <w:lsdException w:uiPriority="0" w:name="List Number 5" w:locked="1"/>
    <w:lsdException w:qFormat="1" w:unhideWhenUsed="0" w:uiPriority="0" w:semiHidden="0" w:name="Title" w:locked="1"/>
    <w:lsdException w:uiPriority="0" w:name="Closing" w:locked="1"/>
    <w:lsdException w:uiPriority="0" w:name="Signature" w:locked="1"/>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qFormat="1" w:unhideWhenUsed="0" w:uiPriority="0" w:semiHidden="0" w:name="Message Header" w:locked="1"/>
    <w:lsdException w:qFormat="1" w:unhideWhenUsed="0" w:uiPriority="0" w:semiHidden="0" w:name="Subtitle" w:locked="1"/>
    <w:lsdException w:uiPriority="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iPriority="0" w:name="Note Heading" w:locked="1"/>
    <w:lsdException w:uiPriority="0" w:name="Body Text 2" w:locked="1"/>
    <w:lsdException w:uiPriority="0" w:name="Body Text 3" w:locked="1"/>
    <w:lsdException w:qFormat="1" w:unhideWhenUsed="0" w:uiPriority="0" w:semiHidden="0" w:name="Body Text Indent 2" w:locked="1"/>
    <w:lsdException w:uiPriority="0" w:name="Body Text Indent 3" w:locked="1"/>
    <w:lsdException w:qFormat="1" w:unhideWhenUsed="0" w:uiPriority="0" w:semiHidden="0" w:name="Block Text" w:locked="1"/>
    <w:lsdException w:qFormat="1" w:uiPriority="99" w:semiHidden="0" w:name="Hyperlink" w:locked="1"/>
    <w:lsdException w:uiPriority="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iPriority="0" w:name="E-mail Signature" w:locked="1"/>
    <w:lsdException w:qFormat="1" w:unhideWhenUsed="0" w:uiPriority="99" w:semiHidden="0" w:name="Normal (Web)"/>
    <w:lsdException w:uiPriority="0" w:name="HTML Acronym" w:locked="1"/>
    <w:lsdException w:uiPriority="0" w:name="HTML Address" w:locked="1"/>
    <w:lsdException w:uiPriority="0" w:name="HTML Cite" w:locked="1"/>
    <w:lsdException w:uiPriority="0" w:name="HTML Code" w:locked="1"/>
    <w:lsdException w:uiPriority="0" w:name="HTML Definition" w:locked="1"/>
    <w:lsdException w:uiPriority="0" w:name="HTML Keyboard" w:locked="1"/>
    <w:lsdException w:uiPriority="0" w:name="HTML Preformatted" w:locked="1"/>
    <w:lsdException w:uiPriority="0" w:name="HTML Sample" w:locked="1"/>
    <w:lsdException w:uiPriority="0" w:name="HTML Typewriter" w:locked="1"/>
    <w:lsdException w:uiPriority="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2">
    <w:name w:val="heading 1"/>
    <w:basedOn w:val="1"/>
    <w:next w:val="1"/>
    <w:link w:val="124"/>
    <w:autoRedefine/>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104"/>
    <w:autoRedefine/>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22"/>
    <w:autoRedefine/>
    <w:semiHidden/>
    <w:unhideWhenUsed/>
    <w:qFormat/>
    <w:locked/>
    <w:uiPriority w:val="0"/>
    <w:pPr>
      <w:keepNext/>
      <w:keepLines/>
      <w:spacing w:before="260" w:after="260" w:line="416" w:lineRule="auto"/>
      <w:ind w:firstLine="480" w:firstLineChars="200"/>
      <w:outlineLvl w:val="2"/>
    </w:pPr>
    <w:rPr>
      <w:rFonts w:eastAsia="宋体"/>
      <w:b/>
      <w:bCs/>
      <w:sz w:val="32"/>
      <w:szCs w:val="32"/>
    </w:rPr>
  </w:style>
  <w:style w:type="paragraph" w:styleId="5">
    <w:name w:val="heading 4"/>
    <w:basedOn w:val="1"/>
    <w:next w:val="1"/>
    <w:link w:val="89"/>
    <w:autoRedefine/>
    <w:unhideWhenUsed/>
    <w:qFormat/>
    <w:locked/>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locked/>
    <w:uiPriority w:val="0"/>
    <w:pPr>
      <w:ind w:firstLine="420" w:firstLineChars="200"/>
    </w:pPr>
    <w:rPr>
      <w:rFonts w:eastAsia="宋体"/>
    </w:rPr>
  </w:style>
  <w:style w:type="paragraph" w:styleId="7">
    <w:name w:val="caption"/>
    <w:basedOn w:val="8"/>
    <w:next w:val="1"/>
    <w:unhideWhenUsed/>
    <w:qFormat/>
    <w:locked/>
    <w:uiPriority w:val="0"/>
  </w:style>
  <w:style w:type="paragraph" w:customStyle="1" w:styleId="8">
    <w:name w:val="表标题"/>
    <w:autoRedefine/>
    <w:qFormat/>
    <w:uiPriority w:val="0"/>
    <w:pPr>
      <w:adjustRightInd w:val="0"/>
      <w:snapToGrid w:val="0"/>
      <w:jc w:val="center"/>
    </w:pPr>
    <w:rPr>
      <w:rFonts w:ascii="Times New Roman" w:hAnsi="Times New Roman" w:eastAsia="宋体" w:cs="Times New Roman"/>
      <w:b/>
      <w:sz w:val="24"/>
      <w:lang w:val="en-US" w:eastAsia="zh-CN" w:bidi="ar-SA"/>
    </w:rPr>
  </w:style>
  <w:style w:type="paragraph" w:styleId="9">
    <w:name w:val="Document Map"/>
    <w:basedOn w:val="1"/>
    <w:link w:val="125"/>
    <w:autoRedefine/>
    <w:qFormat/>
    <w:locked/>
    <w:uiPriority w:val="0"/>
    <w:pPr>
      <w:spacing w:line="360" w:lineRule="auto"/>
      <w:ind w:firstLine="480" w:firstLineChars="200"/>
    </w:pPr>
    <w:rPr>
      <w:rFonts w:ascii="宋体" w:eastAsia="宋体"/>
      <w:sz w:val="18"/>
      <w:szCs w:val="18"/>
    </w:rPr>
  </w:style>
  <w:style w:type="paragraph" w:styleId="10">
    <w:name w:val="annotation text"/>
    <w:basedOn w:val="1"/>
    <w:link w:val="59"/>
    <w:autoRedefine/>
    <w:qFormat/>
    <w:uiPriority w:val="0"/>
    <w:pPr>
      <w:jc w:val="left"/>
    </w:pPr>
    <w:rPr>
      <w:kern w:val="0"/>
      <w:sz w:val="24"/>
      <w:szCs w:val="20"/>
    </w:rPr>
  </w:style>
  <w:style w:type="paragraph" w:styleId="11">
    <w:name w:val="Body Text"/>
    <w:basedOn w:val="1"/>
    <w:next w:val="12"/>
    <w:link w:val="60"/>
    <w:autoRedefine/>
    <w:qFormat/>
    <w:uiPriority w:val="0"/>
    <w:pPr>
      <w:widowControl/>
      <w:snapToGrid w:val="0"/>
      <w:spacing w:before="60" w:after="160" w:line="259" w:lineRule="auto"/>
      <w:ind w:right="113"/>
    </w:pPr>
    <w:rPr>
      <w:kern w:val="0"/>
      <w:sz w:val="18"/>
      <w:szCs w:val="20"/>
    </w:rPr>
  </w:style>
  <w:style w:type="paragraph" w:customStyle="1" w:styleId="12">
    <w:name w:val="Normal (Web)1"/>
    <w:basedOn w:val="1"/>
    <w:next w:val="13"/>
    <w:autoRedefine/>
    <w:qFormat/>
    <w:uiPriority w:val="0"/>
    <w:pPr>
      <w:widowControl/>
      <w:spacing w:line="360" w:lineRule="auto"/>
      <w:ind w:firstLine="480" w:firstLineChars="200"/>
    </w:pPr>
    <w:rPr>
      <w:rFonts w:ascii="宋体" w:eastAsia="宋体"/>
      <w:sz w:val="24"/>
      <w:szCs w:val="21"/>
    </w:rPr>
  </w:style>
  <w:style w:type="paragraph" w:customStyle="1" w:styleId="13">
    <w:name w:val="Date1"/>
    <w:basedOn w:val="1"/>
    <w:next w:val="1"/>
    <w:autoRedefine/>
    <w:qFormat/>
    <w:uiPriority w:val="0"/>
    <w:pPr>
      <w:spacing w:line="360" w:lineRule="auto"/>
      <w:ind w:left="2500" w:leftChars="2500" w:firstLine="480" w:firstLineChars="200"/>
    </w:pPr>
    <w:rPr>
      <w:rFonts w:eastAsia="宋体"/>
      <w:sz w:val="24"/>
    </w:rPr>
  </w:style>
  <w:style w:type="paragraph" w:styleId="14">
    <w:name w:val="Body Text Indent"/>
    <w:basedOn w:val="1"/>
    <w:link w:val="53"/>
    <w:autoRedefine/>
    <w:qFormat/>
    <w:uiPriority w:val="99"/>
    <w:pPr>
      <w:spacing w:after="120"/>
      <w:ind w:left="420" w:leftChars="200"/>
    </w:pPr>
    <w:rPr>
      <w:kern w:val="0"/>
      <w:sz w:val="24"/>
      <w:szCs w:val="20"/>
    </w:rPr>
  </w:style>
  <w:style w:type="paragraph" w:styleId="15">
    <w:name w:val="Block Text"/>
    <w:basedOn w:val="1"/>
    <w:autoRedefine/>
    <w:qFormat/>
    <w:locked/>
    <w:uiPriority w:val="0"/>
    <w:pPr>
      <w:spacing w:before="120" w:line="360" w:lineRule="auto"/>
      <w:ind w:left="113" w:right="113"/>
    </w:pPr>
  </w:style>
  <w:style w:type="paragraph" w:styleId="16">
    <w:name w:val="toc 3"/>
    <w:basedOn w:val="1"/>
    <w:next w:val="1"/>
    <w:autoRedefine/>
    <w:qFormat/>
    <w:locked/>
    <w:uiPriority w:val="39"/>
    <w:pPr>
      <w:ind w:firstLine="960" w:firstLineChars="400"/>
    </w:pPr>
    <w:rPr>
      <w:rFonts w:eastAsia="宋体"/>
    </w:rPr>
  </w:style>
  <w:style w:type="paragraph" w:styleId="17">
    <w:name w:val="Plain Text"/>
    <w:basedOn w:val="1"/>
    <w:link w:val="110"/>
    <w:autoRedefine/>
    <w:qFormat/>
    <w:locked/>
    <w:uiPriority w:val="0"/>
    <w:rPr>
      <w:rFonts w:ascii="宋体" w:hAnsi="Courier New" w:eastAsia="宋体" w:cs="Courier New"/>
      <w:szCs w:val="21"/>
    </w:rPr>
  </w:style>
  <w:style w:type="paragraph" w:styleId="18">
    <w:name w:val="Date"/>
    <w:basedOn w:val="1"/>
    <w:next w:val="1"/>
    <w:link w:val="58"/>
    <w:autoRedefine/>
    <w:qFormat/>
    <w:uiPriority w:val="0"/>
    <w:pPr>
      <w:ind w:left="100" w:leftChars="2500"/>
    </w:pPr>
    <w:rPr>
      <w:kern w:val="0"/>
      <w:sz w:val="24"/>
      <w:szCs w:val="20"/>
    </w:rPr>
  </w:style>
  <w:style w:type="paragraph" w:styleId="19">
    <w:name w:val="Body Text Indent 2"/>
    <w:basedOn w:val="1"/>
    <w:next w:val="1"/>
    <w:link w:val="111"/>
    <w:autoRedefine/>
    <w:qFormat/>
    <w:locked/>
    <w:uiPriority w:val="0"/>
    <w:pPr>
      <w:spacing w:after="120" w:line="480" w:lineRule="auto"/>
      <w:ind w:left="420" w:leftChars="200"/>
    </w:pPr>
    <w:rPr>
      <w:rFonts w:eastAsia="宋体"/>
    </w:rPr>
  </w:style>
  <w:style w:type="paragraph" w:styleId="20">
    <w:name w:val="Balloon Text"/>
    <w:basedOn w:val="1"/>
    <w:link w:val="54"/>
    <w:autoRedefine/>
    <w:semiHidden/>
    <w:qFormat/>
    <w:uiPriority w:val="0"/>
    <w:rPr>
      <w:kern w:val="0"/>
      <w:sz w:val="18"/>
      <w:szCs w:val="20"/>
    </w:rPr>
  </w:style>
  <w:style w:type="paragraph" w:styleId="21">
    <w:name w:val="footer"/>
    <w:basedOn w:val="1"/>
    <w:link w:val="41"/>
    <w:autoRedefine/>
    <w:qFormat/>
    <w:uiPriority w:val="99"/>
    <w:pPr>
      <w:tabs>
        <w:tab w:val="center" w:pos="4153"/>
        <w:tab w:val="right" w:pos="8306"/>
      </w:tabs>
      <w:snapToGrid w:val="0"/>
      <w:jc w:val="left"/>
    </w:pPr>
    <w:rPr>
      <w:kern w:val="0"/>
      <w:sz w:val="18"/>
      <w:szCs w:val="20"/>
    </w:rPr>
  </w:style>
  <w:style w:type="paragraph" w:styleId="22">
    <w:name w:val="header"/>
    <w:basedOn w:val="1"/>
    <w:link w:val="50"/>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23">
    <w:name w:val="toc 1"/>
    <w:basedOn w:val="1"/>
    <w:next w:val="1"/>
    <w:autoRedefine/>
    <w:unhideWhenUsed/>
    <w:qFormat/>
    <w:locked/>
    <w:uiPriority w:val="39"/>
    <w:pPr>
      <w:adjustRightInd w:val="0"/>
      <w:snapToGrid w:val="0"/>
      <w:spacing w:line="400" w:lineRule="exact"/>
    </w:pPr>
    <w:rPr>
      <w:rFonts w:eastAsia="仿宋"/>
      <w:snapToGrid w:val="0"/>
      <w:kern w:val="0"/>
      <w:sz w:val="24"/>
    </w:rPr>
  </w:style>
  <w:style w:type="paragraph" w:styleId="24">
    <w:name w:val="List"/>
    <w:basedOn w:val="1"/>
    <w:next w:val="1"/>
    <w:qFormat/>
    <w:locked/>
    <w:uiPriority w:val="0"/>
    <w:pPr>
      <w:jc w:val="center"/>
    </w:pPr>
    <w:rPr>
      <w:kern w:val="0"/>
      <w:szCs w:val="20"/>
    </w:rPr>
  </w:style>
  <w:style w:type="paragraph" w:styleId="25">
    <w:name w:val="table of figures"/>
    <w:basedOn w:val="1"/>
    <w:next w:val="1"/>
    <w:qFormat/>
    <w:locked/>
    <w:uiPriority w:val="0"/>
    <w:pPr>
      <w:ind w:left="200" w:leftChars="200" w:hanging="200" w:hangingChars="200"/>
    </w:pPr>
  </w:style>
  <w:style w:type="paragraph" w:styleId="26">
    <w:name w:val="toc 2"/>
    <w:basedOn w:val="1"/>
    <w:next w:val="1"/>
    <w:autoRedefine/>
    <w:unhideWhenUsed/>
    <w:qFormat/>
    <w:locked/>
    <w:uiPriority w:val="39"/>
    <w:pPr>
      <w:tabs>
        <w:tab w:val="right" w:leader="dot" w:pos="8296"/>
      </w:tabs>
      <w:adjustRightInd w:val="0"/>
      <w:snapToGrid w:val="0"/>
      <w:spacing w:line="400" w:lineRule="exact"/>
      <w:ind w:left="189" w:leftChars="90"/>
      <w:jc w:val="center"/>
    </w:pPr>
    <w:rPr>
      <w:rFonts w:eastAsia="仿宋"/>
      <w:b/>
      <w:snapToGrid w:val="0"/>
      <w:color w:val="000000"/>
      <w:kern w:val="0"/>
      <w:sz w:val="24"/>
    </w:rPr>
  </w:style>
  <w:style w:type="paragraph" w:styleId="27">
    <w:name w:val="Message Header"/>
    <w:basedOn w:val="1"/>
    <w:link w:val="126"/>
    <w:autoRedefine/>
    <w:qFormat/>
    <w:locked/>
    <w:uiPriority w:val="0"/>
    <w:pPr>
      <w:pBdr>
        <w:top w:val="single" w:color="auto" w:sz="6" w:space="1"/>
        <w:left w:val="single" w:color="auto" w:sz="6" w:space="1"/>
        <w:bottom w:val="single" w:color="auto" w:sz="6" w:space="1"/>
        <w:right w:val="single" w:color="auto" w:sz="6" w:space="1"/>
      </w:pBdr>
      <w:shd w:val="pct20" w:color="auto" w:fill="auto"/>
      <w:spacing w:line="360" w:lineRule="auto"/>
      <w:ind w:left="1080" w:leftChars="500" w:hanging="1080" w:hangingChars="500"/>
    </w:pPr>
    <w:rPr>
      <w:rFonts w:ascii="Arial" w:hAnsi="Arial" w:eastAsia="宋体" w:cs="Arial"/>
      <w:sz w:val="24"/>
    </w:rPr>
  </w:style>
  <w:style w:type="paragraph" w:styleId="28">
    <w:name w:val="Normal (Web)"/>
    <w:basedOn w:val="1"/>
    <w:link w:val="57"/>
    <w:autoRedefine/>
    <w:qFormat/>
    <w:uiPriority w:val="99"/>
    <w:pPr>
      <w:widowControl/>
      <w:spacing w:before="100" w:beforeAutospacing="1" w:after="100" w:afterAutospacing="1"/>
      <w:jc w:val="left"/>
    </w:pPr>
    <w:rPr>
      <w:rFonts w:ascii="宋体" w:hAnsi="宋体"/>
      <w:kern w:val="0"/>
      <w:sz w:val="24"/>
      <w:szCs w:val="20"/>
    </w:rPr>
  </w:style>
  <w:style w:type="paragraph" w:styleId="29">
    <w:name w:val="Title"/>
    <w:basedOn w:val="1"/>
    <w:next w:val="1"/>
    <w:link w:val="49"/>
    <w:autoRedefine/>
    <w:qFormat/>
    <w:locked/>
    <w:uiPriority w:val="0"/>
    <w:pPr>
      <w:pageBreakBefore/>
      <w:jc w:val="left"/>
      <w:outlineLvl w:val="0"/>
    </w:pPr>
    <w:rPr>
      <w:rFonts w:ascii="Cambria" w:hAnsi="Cambria"/>
      <w:b/>
      <w:bCs/>
      <w:sz w:val="32"/>
      <w:szCs w:val="32"/>
    </w:rPr>
  </w:style>
  <w:style w:type="paragraph" w:styleId="30">
    <w:name w:val="annotation subject"/>
    <w:basedOn w:val="10"/>
    <w:next w:val="10"/>
    <w:link w:val="48"/>
    <w:autoRedefine/>
    <w:semiHidden/>
    <w:qFormat/>
    <w:uiPriority w:val="0"/>
    <w:rPr>
      <w:b/>
      <w:kern w:val="2"/>
    </w:rPr>
  </w:style>
  <w:style w:type="paragraph" w:styleId="31">
    <w:name w:val="Body Text First Indent"/>
    <w:basedOn w:val="11"/>
    <w:link w:val="51"/>
    <w:autoRedefine/>
    <w:qFormat/>
    <w:locked/>
    <w:uiPriority w:val="0"/>
    <w:pPr>
      <w:spacing w:after="120"/>
      <w:ind w:firstLine="420" w:firstLineChars="100"/>
    </w:pPr>
  </w:style>
  <w:style w:type="paragraph" w:styleId="32">
    <w:name w:val="Body Text First Indent 2"/>
    <w:basedOn w:val="14"/>
    <w:link w:val="61"/>
    <w:autoRedefine/>
    <w:qFormat/>
    <w:locked/>
    <w:uiPriority w:val="0"/>
    <w:pPr>
      <w:ind w:firstLine="420" w:firstLineChars="200"/>
    </w:pPr>
    <w:rPr>
      <w:kern w:val="2"/>
      <w:sz w:val="21"/>
      <w:szCs w:val="24"/>
    </w:rPr>
  </w:style>
  <w:style w:type="table" w:styleId="34">
    <w:name w:val="Table Grid"/>
    <w:basedOn w:val="3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page number"/>
    <w:basedOn w:val="35"/>
    <w:autoRedefine/>
    <w:qFormat/>
    <w:locked/>
    <w:uiPriority w:val="0"/>
  </w:style>
  <w:style w:type="character" w:styleId="37">
    <w:name w:val="Hyperlink"/>
    <w:basedOn w:val="35"/>
    <w:autoRedefine/>
    <w:unhideWhenUsed/>
    <w:qFormat/>
    <w:locked/>
    <w:uiPriority w:val="99"/>
    <w:rPr>
      <w:color w:val="0000FF" w:themeColor="hyperlink"/>
      <w:u w:val="single"/>
      <w14:textFill>
        <w14:solidFill>
          <w14:schemeClr w14:val="hlink"/>
        </w14:solidFill>
      </w14:textFill>
    </w:rPr>
  </w:style>
  <w:style w:type="character" w:styleId="38">
    <w:name w:val="annotation reference"/>
    <w:basedOn w:val="35"/>
    <w:autoRedefine/>
    <w:semiHidden/>
    <w:qFormat/>
    <w:uiPriority w:val="0"/>
    <w:rPr>
      <w:sz w:val="21"/>
    </w:rPr>
  </w:style>
  <w:style w:type="paragraph" w:customStyle="1" w:styleId="39">
    <w:name w:val="Default"/>
    <w:basedOn w:val="40"/>
    <w:next w:val="1"/>
    <w:autoRedefine/>
    <w:qFormat/>
    <w:uiPriority w:val="0"/>
    <w:pPr>
      <w:widowControl w:val="0"/>
      <w:autoSpaceDE w:val="0"/>
      <w:autoSpaceDN w:val="0"/>
    </w:pPr>
    <w:rPr>
      <w:rFonts w:ascii="Times New Roman" w:hAnsi="Times New Roman" w:eastAsiaTheme="minorEastAsia"/>
      <w:color w:val="000000"/>
      <w:szCs w:val="24"/>
    </w:rPr>
  </w:style>
  <w:style w:type="paragraph" w:customStyle="1" w:styleId="40">
    <w:name w:val="纯文本1"/>
    <w:autoRedefine/>
    <w:qFormat/>
    <w:uiPriority w:val="0"/>
    <w:pPr>
      <w:adjustRightInd w:val="0"/>
      <w:jc w:val="center"/>
      <w:textAlignment w:val="baseline"/>
    </w:pPr>
    <w:rPr>
      <w:rFonts w:ascii="宋体" w:hAnsi="Courier New" w:eastAsia="宋体" w:cs="Times New Roman"/>
      <w:sz w:val="24"/>
      <w:lang w:val="en-US" w:eastAsia="zh-CN" w:bidi="ar-SA"/>
    </w:rPr>
  </w:style>
  <w:style w:type="character" w:customStyle="1" w:styleId="41">
    <w:name w:val="页脚 Char"/>
    <w:link w:val="21"/>
    <w:autoRedefine/>
    <w:qFormat/>
    <w:locked/>
    <w:uiPriority w:val="99"/>
    <w:rPr>
      <w:sz w:val="18"/>
    </w:rPr>
  </w:style>
  <w:style w:type="character" w:customStyle="1" w:styleId="42">
    <w:name w:val="正文文本 字符1"/>
    <w:autoRedefine/>
    <w:semiHidden/>
    <w:qFormat/>
    <w:uiPriority w:val="0"/>
    <w:rPr>
      <w:rFonts w:ascii="Times New Roman" w:hAnsi="Times New Roman" w:eastAsia="宋体"/>
      <w:sz w:val="24"/>
    </w:rPr>
  </w:style>
  <w:style w:type="character" w:customStyle="1" w:styleId="43">
    <w:name w:val="批注文字 字符1"/>
    <w:autoRedefine/>
    <w:semiHidden/>
    <w:qFormat/>
    <w:uiPriority w:val="0"/>
    <w:rPr>
      <w:rFonts w:ascii="Times New Roman" w:hAnsi="Times New Roman" w:eastAsia="宋体"/>
      <w:sz w:val="24"/>
    </w:rPr>
  </w:style>
  <w:style w:type="character" w:customStyle="1" w:styleId="44">
    <w:name w:val="正文00 Char"/>
    <w:link w:val="45"/>
    <w:autoRedefine/>
    <w:qFormat/>
    <w:uiPriority w:val="0"/>
    <w:rPr>
      <w:kern w:val="2"/>
      <w:sz w:val="24"/>
      <w:szCs w:val="24"/>
    </w:rPr>
  </w:style>
  <w:style w:type="paragraph" w:customStyle="1" w:styleId="45">
    <w:name w:val="正文00"/>
    <w:basedOn w:val="1"/>
    <w:link w:val="44"/>
    <w:autoRedefine/>
    <w:qFormat/>
    <w:uiPriority w:val="0"/>
    <w:pPr>
      <w:spacing w:line="360" w:lineRule="auto"/>
      <w:ind w:firstLine="480" w:firstLineChars="200"/>
    </w:pPr>
    <w:rPr>
      <w:sz w:val="24"/>
    </w:rPr>
  </w:style>
  <w:style w:type="character" w:customStyle="1" w:styleId="46">
    <w:name w:val="标题 字符1"/>
    <w:autoRedefine/>
    <w:qFormat/>
    <w:uiPriority w:val="0"/>
    <w:rPr>
      <w:rFonts w:ascii="等线 Light" w:hAnsi="等线 Light" w:cs="Times New Roman"/>
      <w:b/>
      <w:bCs/>
      <w:kern w:val="2"/>
      <w:sz w:val="32"/>
      <w:szCs w:val="32"/>
    </w:rPr>
  </w:style>
  <w:style w:type="character" w:customStyle="1" w:styleId="47">
    <w:name w:val="日期 字符"/>
    <w:autoRedefine/>
    <w:semiHidden/>
    <w:qFormat/>
    <w:uiPriority w:val="0"/>
    <w:rPr>
      <w:rFonts w:ascii="Times New Roman" w:hAnsi="Times New Roman" w:eastAsia="宋体"/>
      <w:sz w:val="24"/>
    </w:rPr>
  </w:style>
  <w:style w:type="character" w:customStyle="1" w:styleId="48">
    <w:name w:val="批注主题 Char"/>
    <w:link w:val="30"/>
    <w:autoRedefine/>
    <w:semiHidden/>
    <w:qFormat/>
    <w:locked/>
    <w:uiPriority w:val="0"/>
    <w:rPr>
      <w:rFonts w:ascii="Times New Roman" w:hAnsi="Times New Roman" w:eastAsia="宋体"/>
      <w:b/>
      <w:kern w:val="2"/>
      <w:sz w:val="24"/>
    </w:rPr>
  </w:style>
  <w:style w:type="character" w:customStyle="1" w:styleId="49">
    <w:name w:val="标题 Char"/>
    <w:link w:val="29"/>
    <w:autoRedefine/>
    <w:qFormat/>
    <w:uiPriority w:val="0"/>
    <w:rPr>
      <w:rFonts w:ascii="Cambria" w:hAnsi="Cambria"/>
      <w:b/>
      <w:bCs/>
      <w:kern w:val="2"/>
      <w:sz w:val="32"/>
      <w:szCs w:val="32"/>
    </w:rPr>
  </w:style>
  <w:style w:type="character" w:customStyle="1" w:styleId="50">
    <w:name w:val="页眉 Char"/>
    <w:link w:val="22"/>
    <w:autoRedefine/>
    <w:qFormat/>
    <w:locked/>
    <w:uiPriority w:val="0"/>
    <w:rPr>
      <w:sz w:val="18"/>
    </w:rPr>
  </w:style>
  <w:style w:type="character" w:customStyle="1" w:styleId="51">
    <w:name w:val="正文首行缩进 Char"/>
    <w:link w:val="31"/>
    <w:autoRedefine/>
    <w:qFormat/>
    <w:uiPriority w:val="0"/>
    <w:rPr>
      <w:kern w:val="2"/>
      <w:sz w:val="21"/>
      <w:szCs w:val="24"/>
    </w:rPr>
  </w:style>
  <w:style w:type="character" w:customStyle="1" w:styleId="52">
    <w:name w:val="页脚 字符"/>
    <w:basedOn w:val="35"/>
    <w:autoRedefine/>
    <w:qFormat/>
    <w:uiPriority w:val="99"/>
  </w:style>
  <w:style w:type="character" w:customStyle="1" w:styleId="53">
    <w:name w:val="正文文本缩进 Char"/>
    <w:link w:val="14"/>
    <w:autoRedefine/>
    <w:qFormat/>
    <w:locked/>
    <w:uiPriority w:val="99"/>
    <w:rPr>
      <w:rFonts w:ascii="Times New Roman" w:hAnsi="Times New Roman" w:eastAsia="宋体"/>
      <w:sz w:val="24"/>
    </w:rPr>
  </w:style>
  <w:style w:type="character" w:customStyle="1" w:styleId="54">
    <w:name w:val="批注框文本 Char"/>
    <w:link w:val="20"/>
    <w:autoRedefine/>
    <w:semiHidden/>
    <w:qFormat/>
    <w:locked/>
    <w:uiPriority w:val="0"/>
    <w:rPr>
      <w:rFonts w:ascii="Times New Roman" w:hAnsi="Times New Roman" w:eastAsia="宋体"/>
      <w:sz w:val="18"/>
    </w:rPr>
  </w:style>
  <w:style w:type="character" w:customStyle="1" w:styleId="55">
    <w:name w:val="表格 Char"/>
    <w:link w:val="56"/>
    <w:autoRedefine/>
    <w:qFormat/>
    <w:locked/>
    <w:uiPriority w:val="0"/>
    <w:rPr>
      <w:rFonts w:ascii="宋体"/>
      <w:sz w:val="21"/>
    </w:rPr>
  </w:style>
  <w:style w:type="paragraph" w:customStyle="1" w:styleId="56">
    <w:name w:val="表格"/>
    <w:basedOn w:val="1"/>
    <w:next w:val="1"/>
    <w:link w:val="55"/>
    <w:autoRedefine/>
    <w:qFormat/>
    <w:uiPriority w:val="0"/>
    <w:pPr>
      <w:adjustRightInd w:val="0"/>
      <w:snapToGrid w:val="0"/>
      <w:spacing w:beforeLines="10" w:afterLines="10" w:line="259" w:lineRule="auto"/>
      <w:jc w:val="center"/>
    </w:pPr>
    <w:rPr>
      <w:rFonts w:ascii="宋体"/>
      <w:kern w:val="0"/>
      <w:szCs w:val="20"/>
    </w:rPr>
  </w:style>
  <w:style w:type="character" w:customStyle="1" w:styleId="57">
    <w:name w:val="普通(网站) Char"/>
    <w:link w:val="28"/>
    <w:autoRedefine/>
    <w:qFormat/>
    <w:locked/>
    <w:uiPriority w:val="99"/>
    <w:rPr>
      <w:rFonts w:ascii="宋体" w:hAnsi="宋体" w:eastAsia="宋体"/>
      <w:sz w:val="24"/>
    </w:rPr>
  </w:style>
  <w:style w:type="character" w:customStyle="1" w:styleId="58">
    <w:name w:val="日期 Char"/>
    <w:link w:val="18"/>
    <w:autoRedefine/>
    <w:qFormat/>
    <w:locked/>
    <w:uiPriority w:val="0"/>
    <w:rPr>
      <w:rFonts w:ascii="Times New Roman" w:hAnsi="Times New Roman" w:eastAsia="宋体"/>
      <w:sz w:val="24"/>
    </w:rPr>
  </w:style>
  <w:style w:type="character" w:customStyle="1" w:styleId="59">
    <w:name w:val="批注文字 Char"/>
    <w:link w:val="10"/>
    <w:autoRedefine/>
    <w:qFormat/>
    <w:locked/>
    <w:uiPriority w:val="0"/>
    <w:rPr>
      <w:rFonts w:ascii="Times New Roman" w:hAnsi="Times New Roman" w:eastAsia="宋体"/>
      <w:sz w:val="24"/>
    </w:rPr>
  </w:style>
  <w:style w:type="character" w:customStyle="1" w:styleId="60">
    <w:name w:val="正文文本 Char"/>
    <w:link w:val="11"/>
    <w:autoRedefine/>
    <w:qFormat/>
    <w:locked/>
    <w:uiPriority w:val="0"/>
    <w:rPr>
      <w:sz w:val="18"/>
    </w:rPr>
  </w:style>
  <w:style w:type="character" w:customStyle="1" w:styleId="61">
    <w:name w:val="正文首行缩进 2 Char"/>
    <w:link w:val="32"/>
    <w:autoRedefine/>
    <w:qFormat/>
    <w:uiPriority w:val="0"/>
    <w:rPr>
      <w:rFonts w:ascii="Times New Roman" w:hAnsi="Times New Roman" w:eastAsia="宋体"/>
      <w:kern w:val="2"/>
      <w:sz w:val="21"/>
      <w:szCs w:val="24"/>
    </w:rPr>
  </w:style>
  <w:style w:type="paragraph" w:customStyle="1" w:styleId="62">
    <w:name w:val="正文缩进1"/>
    <w:basedOn w:val="1"/>
    <w:autoRedefine/>
    <w:qFormat/>
    <w:uiPriority w:val="0"/>
    <w:pPr>
      <w:ind w:firstLine="420"/>
    </w:pPr>
    <w:rPr>
      <w:sz w:val="28"/>
    </w:rPr>
  </w:style>
  <w:style w:type="paragraph" w:customStyle="1" w:styleId="63">
    <w:name w:val="正文_10"/>
    <w:autoRedefine/>
    <w:qFormat/>
    <w:uiPriority w:val="0"/>
    <w:pPr>
      <w:widowControl w:val="0"/>
      <w:jc w:val="both"/>
    </w:pPr>
    <w:rPr>
      <w:rFonts w:ascii="Times New Roman" w:hAnsi="Times New Roman" w:cs="Times New Roman" w:eastAsiaTheme="minorEastAsia"/>
      <w:kern w:val="2"/>
      <w:sz w:val="21"/>
      <w:szCs w:val="22"/>
      <w:lang w:val="en-US" w:eastAsia="zh-CN" w:bidi="ar-SA"/>
    </w:rPr>
  </w:style>
  <w:style w:type="paragraph" w:customStyle="1" w:styleId="64">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65">
    <w:name w:val="Table Paragraph"/>
    <w:basedOn w:val="1"/>
    <w:autoRedefine/>
    <w:qFormat/>
    <w:uiPriority w:val="1"/>
    <w:pPr>
      <w:jc w:val="right"/>
    </w:pPr>
    <w:rPr>
      <w:kern w:val="0"/>
      <w:sz w:val="22"/>
      <w:lang w:eastAsia="en-US"/>
    </w:rPr>
  </w:style>
  <w:style w:type="paragraph" w:customStyle="1" w:styleId="66">
    <w:name w:val="Other|1"/>
    <w:basedOn w:val="1"/>
    <w:autoRedefine/>
    <w:qFormat/>
    <w:uiPriority w:val="0"/>
    <w:pPr>
      <w:jc w:val="center"/>
    </w:pPr>
    <w:rPr>
      <w:sz w:val="20"/>
      <w:szCs w:val="20"/>
    </w:rPr>
  </w:style>
  <w:style w:type="paragraph" w:customStyle="1" w:styleId="67">
    <w:name w:val="内容"/>
    <w:basedOn w:val="1"/>
    <w:link w:val="83"/>
    <w:autoRedefine/>
    <w:qFormat/>
    <w:uiPriority w:val="0"/>
    <w:pPr>
      <w:spacing w:beforeLines="50" w:afterLines="50"/>
      <w:ind w:firstLine="200" w:firstLineChars="200"/>
    </w:pPr>
    <w:rPr>
      <w:color w:val="000000"/>
      <w:sz w:val="24"/>
    </w:rPr>
  </w:style>
  <w:style w:type="paragraph" w:styleId="68">
    <w:name w:val="List Paragraph"/>
    <w:basedOn w:val="1"/>
    <w:autoRedefine/>
    <w:qFormat/>
    <w:uiPriority w:val="99"/>
    <w:pPr>
      <w:ind w:firstLine="420" w:firstLineChars="200"/>
    </w:pPr>
  </w:style>
  <w:style w:type="paragraph" w:customStyle="1" w:styleId="69">
    <w:name w:val="11111"/>
    <w:basedOn w:val="1"/>
    <w:next w:val="1"/>
    <w:autoRedefine/>
    <w:qFormat/>
    <w:uiPriority w:val="0"/>
    <w:pPr>
      <w:spacing w:line="360" w:lineRule="auto"/>
      <w:ind w:firstLine="200" w:firstLineChars="200"/>
    </w:pPr>
    <w:rPr>
      <w:rFonts w:ascii="宋体" w:hAnsi="宋体" w:eastAsia="宋体" w:cs="宋体"/>
      <w:sz w:val="24"/>
    </w:rPr>
  </w:style>
  <w:style w:type="character" w:customStyle="1" w:styleId="70">
    <w:name w:val="报告表  段 Char Char"/>
    <w:link w:val="71"/>
    <w:autoRedefine/>
    <w:qFormat/>
    <w:locked/>
    <w:uiPriority w:val="0"/>
    <w:rPr>
      <w:rFonts w:ascii="宋体" w:hAnsi="MS Gothic" w:cstheme="minorBidi"/>
      <w:snapToGrid w:val="0"/>
      <w:kern w:val="2"/>
      <w:sz w:val="24"/>
      <w:szCs w:val="22"/>
    </w:rPr>
  </w:style>
  <w:style w:type="paragraph" w:customStyle="1" w:styleId="71">
    <w:name w:val="报告表  段"/>
    <w:basedOn w:val="1"/>
    <w:link w:val="70"/>
    <w:autoRedefine/>
    <w:qFormat/>
    <w:uiPriority w:val="0"/>
    <w:pPr>
      <w:adjustRightInd w:val="0"/>
      <w:snapToGrid w:val="0"/>
      <w:spacing w:line="360" w:lineRule="auto"/>
      <w:ind w:firstLine="505"/>
    </w:pPr>
    <w:rPr>
      <w:rFonts w:ascii="宋体" w:hAnsi="MS Gothic" w:cstheme="minorBidi"/>
      <w:snapToGrid w:val="0"/>
      <w:sz w:val="24"/>
      <w:szCs w:val="22"/>
    </w:rPr>
  </w:style>
  <w:style w:type="character" w:customStyle="1" w:styleId="72">
    <w:name w:val="【表中文字】 Char"/>
    <w:link w:val="73"/>
    <w:autoRedefine/>
    <w:qFormat/>
    <w:locked/>
    <w:uiPriority w:val="0"/>
  </w:style>
  <w:style w:type="paragraph" w:customStyle="1" w:styleId="73">
    <w:name w:val="【表中文字】"/>
    <w:basedOn w:val="74"/>
    <w:link w:val="72"/>
    <w:autoRedefine/>
    <w:qFormat/>
    <w:uiPriority w:val="0"/>
    <w:rPr>
      <w:kern w:val="0"/>
      <w:sz w:val="20"/>
      <w:szCs w:val="20"/>
    </w:rPr>
  </w:style>
  <w:style w:type="paragraph" w:customStyle="1" w:styleId="74">
    <w:name w:val="表格内容"/>
    <w:basedOn w:val="75"/>
    <w:next w:val="1"/>
    <w:qFormat/>
    <w:uiPriority w:val="0"/>
    <w:rPr>
      <w:rFonts w:eastAsia="宋体" w:cs="宋体"/>
      <w:sz w:val="21"/>
      <w:szCs w:val="21"/>
    </w:rPr>
  </w:style>
  <w:style w:type="paragraph" w:customStyle="1" w:styleId="75">
    <w:name w:val="封皮-证书编号"/>
    <w:basedOn w:val="1"/>
    <w:qFormat/>
    <w:uiPriority w:val="99"/>
    <w:pPr>
      <w:jc w:val="center"/>
    </w:pPr>
    <w:rPr>
      <w:rFonts w:eastAsia="黑体"/>
      <w:sz w:val="28"/>
    </w:rPr>
  </w:style>
  <w:style w:type="paragraph" w:customStyle="1" w:styleId="76">
    <w:name w:val="TOC 标题1"/>
    <w:basedOn w:val="2"/>
    <w:next w:val="1"/>
    <w:autoRedefine/>
    <w:unhideWhenUsed/>
    <w:qFormat/>
    <w:uiPriority w:val="39"/>
    <w:pPr>
      <w:keepLines/>
      <w:widowControl/>
      <w:overflowPunct/>
      <w:snapToGrid/>
      <w:spacing w:before="240" w:after="0"/>
      <w:ind w:left="0" w:firstLine="0"/>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77">
    <w:name w:val="【正文】 Char"/>
    <w:link w:val="78"/>
    <w:autoRedefine/>
    <w:qFormat/>
    <w:locked/>
    <w:uiPriority w:val="0"/>
    <w:rPr>
      <w:kern w:val="2"/>
      <w:sz w:val="24"/>
      <w:szCs w:val="24"/>
    </w:rPr>
  </w:style>
  <w:style w:type="paragraph" w:customStyle="1" w:styleId="78">
    <w:name w:val="【正文】"/>
    <w:basedOn w:val="1"/>
    <w:link w:val="77"/>
    <w:autoRedefine/>
    <w:qFormat/>
    <w:uiPriority w:val="0"/>
    <w:pPr>
      <w:spacing w:line="360" w:lineRule="auto"/>
      <w:ind w:firstLine="480" w:firstLineChars="200"/>
    </w:pPr>
    <w:rPr>
      <w:sz w:val="24"/>
    </w:rPr>
  </w:style>
  <w:style w:type="paragraph" w:customStyle="1" w:styleId="79">
    <w:name w:val="ZW"/>
    <w:basedOn w:val="1"/>
    <w:autoRedefine/>
    <w:qFormat/>
    <w:uiPriority w:val="0"/>
    <w:pPr>
      <w:spacing w:line="360" w:lineRule="auto"/>
      <w:ind w:firstLine="200" w:firstLineChars="200"/>
    </w:pPr>
    <w:rPr>
      <w:rFonts w:eastAsia="宋体"/>
      <w:color w:val="000000"/>
      <w:sz w:val="24"/>
      <w:szCs w:val="44"/>
    </w:rPr>
  </w:style>
  <w:style w:type="paragraph" w:customStyle="1" w:styleId="80">
    <w:name w:val="Char"/>
    <w:basedOn w:val="1"/>
    <w:autoRedefine/>
    <w:qFormat/>
    <w:uiPriority w:val="0"/>
    <w:pPr>
      <w:snapToGrid w:val="0"/>
      <w:spacing w:line="440" w:lineRule="atLeast"/>
      <w:ind w:firstLine="200" w:firstLineChars="200"/>
    </w:pPr>
    <w:rPr>
      <w:rFonts w:eastAsia="宋体"/>
    </w:rPr>
  </w:style>
  <w:style w:type="character" w:customStyle="1" w:styleId="81">
    <w:name w:val="神-安表格 字符"/>
    <w:link w:val="82"/>
    <w:autoRedefine/>
    <w:qFormat/>
    <w:locked/>
    <w:uiPriority w:val="0"/>
    <w:rPr>
      <w:color w:val="000000"/>
      <w:kern w:val="2"/>
      <w:sz w:val="21"/>
      <w:szCs w:val="24"/>
    </w:rPr>
  </w:style>
  <w:style w:type="paragraph" w:customStyle="1" w:styleId="82">
    <w:name w:val="神-安表格"/>
    <w:basedOn w:val="1"/>
    <w:link w:val="81"/>
    <w:autoRedefine/>
    <w:qFormat/>
    <w:uiPriority w:val="0"/>
    <w:pPr>
      <w:adjustRightInd w:val="0"/>
      <w:snapToGrid w:val="0"/>
      <w:jc w:val="center"/>
    </w:pPr>
    <w:rPr>
      <w:color w:val="000000"/>
    </w:rPr>
  </w:style>
  <w:style w:type="character" w:customStyle="1" w:styleId="83">
    <w:name w:val="内容 Char"/>
    <w:link w:val="67"/>
    <w:autoRedefine/>
    <w:qFormat/>
    <w:locked/>
    <w:uiPriority w:val="0"/>
    <w:rPr>
      <w:color w:val="000000"/>
      <w:kern w:val="2"/>
      <w:sz w:val="24"/>
      <w:szCs w:val="24"/>
    </w:rPr>
  </w:style>
  <w:style w:type="character" w:customStyle="1" w:styleId="84">
    <w:name w:val="表格 Char Char"/>
    <w:autoRedefine/>
    <w:qFormat/>
    <w:locked/>
    <w:uiPriority w:val="0"/>
    <w:rPr>
      <w:rFonts w:ascii="楷体_GB2312" w:eastAsia="楷体_GB2312"/>
      <w:kern w:val="11"/>
      <w:sz w:val="24"/>
      <w:lang w:val="zh-CN" w:eastAsia="zh-CN"/>
    </w:rPr>
  </w:style>
  <w:style w:type="paragraph" w:customStyle="1" w:styleId="85">
    <w:name w:val="样式 Times New Roman 五号 居中"/>
    <w:basedOn w:val="1"/>
    <w:autoRedefine/>
    <w:qFormat/>
    <w:uiPriority w:val="0"/>
    <w:pPr>
      <w:adjustRightInd w:val="0"/>
      <w:snapToGrid w:val="0"/>
      <w:spacing w:line="360" w:lineRule="auto"/>
      <w:ind w:firstLine="200" w:firstLineChars="200"/>
      <w:jc w:val="center"/>
    </w:pPr>
    <w:rPr>
      <w:rFonts w:eastAsia="宋体" w:cs="宋体"/>
      <w:sz w:val="24"/>
      <w:szCs w:val="20"/>
    </w:rPr>
  </w:style>
  <w:style w:type="character" w:customStyle="1" w:styleId="86">
    <w:name w:val="【正文】 Char1"/>
    <w:autoRedefine/>
    <w:qFormat/>
    <w:locked/>
    <w:uiPriority w:val="0"/>
    <w:rPr>
      <w:rFonts w:hint="eastAsia" w:ascii="宋体" w:hAnsi="宋体" w:eastAsia="宋体"/>
      <w:snapToGrid/>
      <w:sz w:val="24"/>
    </w:rPr>
  </w:style>
  <w:style w:type="character" w:customStyle="1" w:styleId="87">
    <w:name w:val="【表头】 Char"/>
    <w:link w:val="88"/>
    <w:autoRedefine/>
    <w:qFormat/>
    <w:locked/>
    <w:uiPriority w:val="0"/>
    <w:rPr>
      <w:rFonts w:ascii="黑体" w:hAnsi="黑体" w:eastAsia="黑体"/>
      <w:sz w:val="24"/>
    </w:rPr>
  </w:style>
  <w:style w:type="paragraph" w:customStyle="1" w:styleId="88">
    <w:name w:val="【表头】"/>
    <w:basedOn w:val="1"/>
    <w:next w:val="1"/>
    <w:link w:val="87"/>
    <w:autoRedefine/>
    <w:qFormat/>
    <w:uiPriority w:val="0"/>
    <w:pPr>
      <w:spacing w:line="460" w:lineRule="exact"/>
      <w:jc w:val="center"/>
    </w:pPr>
    <w:rPr>
      <w:rFonts w:ascii="黑体" w:hAnsi="黑体" w:eastAsia="黑体"/>
      <w:kern w:val="0"/>
      <w:sz w:val="24"/>
      <w:szCs w:val="20"/>
    </w:rPr>
  </w:style>
  <w:style w:type="character" w:customStyle="1" w:styleId="89">
    <w:name w:val="标题 4 Char"/>
    <w:basedOn w:val="35"/>
    <w:link w:val="5"/>
    <w:autoRedefine/>
    <w:semiHidden/>
    <w:qFormat/>
    <w:uiPriority w:val="0"/>
    <w:rPr>
      <w:rFonts w:asciiTheme="majorHAnsi" w:hAnsiTheme="majorHAnsi" w:eastAsiaTheme="majorEastAsia" w:cstheme="majorBidi"/>
      <w:b/>
      <w:bCs/>
      <w:kern w:val="2"/>
      <w:sz w:val="28"/>
      <w:szCs w:val="28"/>
    </w:rPr>
  </w:style>
  <w:style w:type="paragraph" w:customStyle="1" w:styleId="90">
    <w:name w:val="常规"/>
    <w:basedOn w:val="1"/>
    <w:autoRedefine/>
    <w:qFormat/>
    <w:uiPriority w:val="0"/>
    <w:pPr>
      <w:widowControl/>
      <w:spacing w:line="360" w:lineRule="auto"/>
      <w:jc w:val="left"/>
    </w:pPr>
    <w:rPr>
      <w:rFonts w:ascii="Arial" w:hAnsi="Arial" w:eastAsia="宋体" w:cs="Arial"/>
      <w:color w:val="000000"/>
      <w:kern w:val="0"/>
      <w:sz w:val="20"/>
      <w:szCs w:val="20"/>
    </w:rPr>
  </w:style>
  <w:style w:type="paragraph" w:customStyle="1" w:styleId="91">
    <w:name w:val="【正文小四号】"/>
    <w:basedOn w:val="1"/>
    <w:autoRedefine/>
    <w:qFormat/>
    <w:uiPriority w:val="0"/>
    <w:pPr>
      <w:spacing w:line="360" w:lineRule="auto"/>
      <w:ind w:firstLine="200" w:firstLineChars="200"/>
    </w:pPr>
    <w:rPr>
      <w:rFonts w:eastAsia="宋体"/>
      <w:kern w:val="0"/>
      <w:sz w:val="24"/>
    </w:rPr>
  </w:style>
  <w:style w:type="character" w:customStyle="1" w:styleId="92">
    <w:name w:val="【表中文字】- 字符"/>
    <w:link w:val="93"/>
    <w:autoRedefine/>
    <w:qFormat/>
    <w:uiPriority w:val="0"/>
  </w:style>
  <w:style w:type="paragraph" w:customStyle="1" w:styleId="93">
    <w:name w:val="【表中文字】-"/>
    <w:basedOn w:val="1"/>
    <w:link w:val="92"/>
    <w:autoRedefine/>
    <w:qFormat/>
    <w:uiPriority w:val="0"/>
    <w:pPr>
      <w:widowControl/>
      <w:jc w:val="center"/>
    </w:pPr>
    <w:rPr>
      <w:kern w:val="0"/>
      <w:sz w:val="20"/>
      <w:szCs w:val="20"/>
    </w:rPr>
  </w:style>
  <w:style w:type="character" w:customStyle="1" w:styleId="94">
    <w:name w:val="font11"/>
    <w:basedOn w:val="35"/>
    <w:autoRedefine/>
    <w:qFormat/>
    <w:uiPriority w:val="0"/>
    <w:rPr>
      <w:rFonts w:hint="default" w:ascii="Times New Roman" w:hAnsi="Times New Roman" w:cs="Times New Roman"/>
      <w:color w:val="000000"/>
      <w:sz w:val="21"/>
      <w:szCs w:val="21"/>
      <w:u w:val="none"/>
      <w:vertAlign w:val="superscript"/>
    </w:rPr>
  </w:style>
  <w:style w:type="character" w:customStyle="1" w:styleId="95">
    <w:name w:val="font01"/>
    <w:basedOn w:val="35"/>
    <w:autoRedefine/>
    <w:qFormat/>
    <w:uiPriority w:val="0"/>
    <w:rPr>
      <w:rFonts w:hint="default" w:ascii="Times New Roman" w:hAnsi="Times New Roman" w:cs="Times New Roman"/>
      <w:color w:val="000000"/>
      <w:sz w:val="21"/>
      <w:szCs w:val="21"/>
      <w:u w:val="none"/>
      <w:vertAlign w:val="subscript"/>
    </w:rPr>
  </w:style>
  <w:style w:type="character" w:customStyle="1" w:styleId="96">
    <w:name w:val="font21"/>
    <w:basedOn w:val="35"/>
    <w:autoRedefine/>
    <w:qFormat/>
    <w:uiPriority w:val="0"/>
    <w:rPr>
      <w:rFonts w:hint="eastAsia" w:ascii="宋体" w:hAnsi="宋体" w:eastAsia="宋体" w:cs="宋体"/>
      <w:color w:val="000000"/>
      <w:sz w:val="21"/>
      <w:szCs w:val="21"/>
      <w:u w:val="none"/>
    </w:rPr>
  </w:style>
  <w:style w:type="table" w:customStyle="1" w:styleId="97">
    <w:name w:val="[表格样式]"/>
    <w:basedOn w:val="33"/>
    <w:autoRedefine/>
    <w:qFormat/>
    <w:uiPriority w:val="99"/>
    <w:pPr>
      <w:adjustRightInd w:val="0"/>
      <w:snapToGrid w:val="0"/>
      <w:jc w:val="center"/>
    </w:p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customStyle="1" w:styleId="98">
    <w:name w:val="Normal Char"/>
    <w:link w:val="99"/>
    <w:autoRedefine/>
    <w:qFormat/>
    <w:locked/>
    <w:uiPriority w:val="99"/>
    <w:rPr>
      <w:rFonts w:ascii="宋体"/>
      <w:kern w:val="2"/>
      <w:sz w:val="22"/>
    </w:rPr>
  </w:style>
  <w:style w:type="paragraph" w:customStyle="1" w:styleId="99">
    <w:name w:val="正文1"/>
    <w:link w:val="98"/>
    <w:autoRedefine/>
    <w:qFormat/>
    <w:uiPriority w:val="0"/>
    <w:pPr>
      <w:widowControl w:val="0"/>
      <w:adjustRightInd w:val="0"/>
      <w:spacing w:line="360" w:lineRule="atLeast"/>
    </w:pPr>
    <w:rPr>
      <w:rFonts w:ascii="宋体" w:hAnsi="Times New Roman" w:cs="Times New Roman" w:eastAsiaTheme="minorEastAsia"/>
      <w:kern w:val="2"/>
      <w:sz w:val="22"/>
      <w:lang w:val="en-US" w:eastAsia="zh-CN" w:bidi="ar-SA"/>
    </w:rPr>
  </w:style>
  <w:style w:type="paragraph" w:customStyle="1" w:styleId="100">
    <w:name w:val="表中文字"/>
    <w:basedOn w:val="1"/>
    <w:autoRedefine/>
    <w:qFormat/>
    <w:uiPriority w:val="0"/>
    <w:pPr>
      <w:spacing w:line="480" w:lineRule="exact"/>
      <w:ind w:firstLine="200" w:firstLineChars="200"/>
      <w:jc w:val="center"/>
    </w:pPr>
    <w:rPr>
      <w:rFonts w:eastAsia="宋体"/>
      <w:sz w:val="24"/>
      <w:szCs w:val="20"/>
    </w:rPr>
  </w:style>
  <w:style w:type="character" w:customStyle="1" w:styleId="101">
    <w:name w:val="首行缩进正文 字符"/>
    <w:basedOn w:val="35"/>
    <w:link w:val="102"/>
    <w:autoRedefine/>
    <w:qFormat/>
    <w:locked/>
    <w:uiPriority w:val="0"/>
    <w:rPr>
      <w:rFonts w:ascii="宋体" w:hAnsi="宋体" w:eastAsia="宋体" w:cs="宋体"/>
      <w:color w:val="000000" w:themeColor="text1"/>
      <w:sz w:val="21"/>
      <w:szCs w:val="24"/>
      <w14:textFill>
        <w14:solidFill>
          <w14:schemeClr w14:val="tx1"/>
        </w14:solidFill>
      </w14:textFill>
    </w:rPr>
  </w:style>
  <w:style w:type="paragraph" w:customStyle="1" w:styleId="102">
    <w:name w:val="首行缩进正文"/>
    <w:basedOn w:val="1"/>
    <w:link w:val="101"/>
    <w:autoRedefine/>
    <w:qFormat/>
    <w:uiPriority w:val="0"/>
    <w:pPr>
      <w:ind w:firstLine="200" w:firstLineChars="200"/>
    </w:pPr>
    <w:rPr>
      <w:rFonts w:ascii="宋体" w:hAnsi="宋体" w:eastAsia="宋体" w:cs="宋体"/>
      <w:color w:val="000000" w:themeColor="text1"/>
      <w:kern w:val="0"/>
      <w14:textFill>
        <w14:solidFill>
          <w14:schemeClr w14:val="tx1"/>
        </w14:solidFill>
      </w14:textFill>
    </w:rPr>
  </w:style>
  <w:style w:type="table" w:customStyle="1" w:styleId="103">
    <w:name w:val="网格型13"/>
    <w:basedOn w:val="33"/>
    <w:autoRedefine/>
    <w:qFormat/>
    <w:uiPriority w:val="59"/>
    <w:pPr>
      <w:jc w:val="center"/>
    </w:pPr>
    <w:rPr>
      <w:rFonts w:ascii="Calibri" w:hAnsi="Calibri"/>
      <w:kern w:val="2"/>
      <w:sz w:val="21"/>
      <w:szCs w:val="22"/>
    </w:r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customStyle="1" w:styleId="104">
    <w:name w:val="标题 2 Char"/>
    <w:basedOn w:val="35"/>
    <w:link w:val="3"/>
    <w:autoRedefine/>
    <w:qFormat/>
    <w:uiPriority w:val="0"/>
    <w:rPr>
      <w:rFonts w:asciiTheme="majorHAnsi" w:hAnsiTheme="majorHAnsi" w:eastAsiaTheme="majorEastAsia" w:cstheme="majorBidi"/>
      <w:b/>
      <w:bCs/>
      <w:kern w:val="2"/>
      <w:sz w:val="32"/>
      <w:szCs w:val="32"/>
    </w:rPr>
  </w:style>
  <w:style w:type="character" w:customStyle="1" w:styleId="105">
    <w:name w:val="NormalCharacter"/>
    <w:autoRedefine/>
    <w:qFormat/>
    <w:uiPriority w:val="0"/>
    <w:rPr>
      <w:rFonts w:ascii="宋体"/>
      <w:sz w:val="24"/>
      <w:lang w:val="en-US" w:eastAsia="zh-CN" w:bidi="ar-SA"/>
    </w:rPr>
  </w:style>
  <w:style w:type="character" w:customStyle="1" w:styleId="106">
    <w:name w:val="font31"/>
    <w:basedOn w:val="35"/>
    <w:autoRedefine/>
    <w:qFormat/>
    <w:uiPriority w:val="0"/>
    <w:rPr>
      <w:rFonts w:hint="eastAsia" w:ascii="宋体" w:hAnsi="宋体" w:eastAsia="宋体" w:cs="宋体"/>
      <w:b/>
      <w:color w:val="000000"/>
      <w:sz w:val="20"/>
      <w:szCs w:val="20"/>
      <w:u w:val="none"/>
    </w:rPr>
  </w:style>
  <w:style w:type="paragraph" w:customStyle="1" w:styleId="107">
    <w:name w:val="C首行缩进正文"/>
    <w:basedOn w:val="78"/>
    <w:link w:val="108"/>
    <w:autoRedefine/>
    <w:qFormat/>
    <w:uiPriority w:val="0"/>
    <w:pPr>
      <w:ind w:firstLine="200"/>
    </w:pPr>
    <w:rPr>
      <w:rFonts w:eastAsia="宋体" w:cs="宋体"/>
      <w:color w:val="000000" w:themeColor="text1"/>
      <w:sz w:val="21"/>
      <w14:textFill>
        <w14:solidFill>
          <w14:schemeClr w14:val="tx1"/>
        </w14:solidFill>
      </w14:textFill>
    </w:rPr>
  </w:style>
  <w:style w:type="character" w:customStyle="1" w:styleId="108">
    <w:name w:val="C首行缩进正文 字符"/>
    <w:basedOn w:val="77"/>
    <w:link w:val="107"/>
    <w:autoRedefine/>
    <w:qFormat/>
    <w:uiPriority w:val="0"/>
    <w:rPr>
      <w:rFonts w:eastAsia="宋体" w:cs="宋体"/>
      <w:color w:val="000000" w:themeColor="text1"/>
      <w:kern w:val="2"/>
      <w:sz w:val="21"/>
      <w:szCs w:val="24"/>
      <w14:textFill>
        <w14:solidFill>
          <w14:schemeClr w14:val="tx1"/>
        </w14:solidFill>
      </w14:textFill>
    </w:rPr>
  </w:style>
  <w:style w:type="paragraph" w:customStyle="1" w:styleId="109">
    <w:name w:val="填表样式"/>
    <w:basedOn w:val="1"/>
    <w:autoRedefine/>
    <w:qFormat/>
    <w:uiPriority w:val="0"/>
    <w:pPr>
      <w:adjustRightInd w:val="0"/>
      <w:snapToGrid w:val="0"/>
      <w:spacing w:line="360" w:lineRule="auto"/>
      <w:ind w:firstLine="720" w:firstLineChars="200"/>
    </w:pPr>
    <w:rPr>
      <w:rFonts w:eastAsia="宋体"/>
    </w:rPr>
  </w:style>
  <w:style w:type="character" w:customStyle="1" w:styleId="110">
    <w:name w:val="纯文本 Char"/>
    <w:basedOn w:val="35"/>
    <w:link w:val="17"/>
    <w:autoRedefine/>
    <w:qFormat/>
    <w:uiPriority w:val="0"/>
    <w:rPr>
      <w:rFonts w:ascii="宋体" w:hAnsi="Courier New" w:eastAsia="宋体" w:cs="Courier New"/>
      <w:kern w:val="2"/>
      <w:sz w:val="21"/>
      <w:szCs w:val="21"/>
    </w:rPr>
  </w:style>
  <w:style w:type="character" w:customStyle="1" w:styleId="111">
    <w:name w:val="正文文本缩进 2 Char"/>
    <w:basedOn w:val="35"/>
    <w:link w:val="19"/>
    <w:autoRedefine/>
    <w:qFormat/>
    <w:uiPriority w:val="0"/>
    <w:rPr>
      <w:rFonts w:eastAsia="宋体"/>
      <w:kern w:val="2"/>
      <w:sz w:val="21"/>
      <w:szCs w:val="24"/>
    </w:rPr>
  </w:style>
  <w:style w:type="paragraph" w:customStyle="1" w:styleId="112">
    <w:name w:val="表头"/>
    <w:basedOn w:val="1"/>
    <w:link w:val="113"/>
    <w:autoRedefine/>
    <w:qFormat/>
    <w:uiPriority w:val="0"/>
    <w:pPr>
      <w:adjustRightInd w:val="0"/>
      <w:snapToGrid w:val="0"/>
      <w:ind w:firstLine="200" w:firstLineChars="200"/>
      <w:jc w:val="center"/>
    </w:pPr>
    <w:rPr>
      <w:rFonts w:eastAsia="黑体"/>
    </w:rPr>
  </w:style>
  <w:style w:type="character" w:customStyle="1" w:styleId="113">
    <w:name w:val="表头 字符"/>
    <w:link w:val="112"/>
    <w:autoRedefine/>
    <w:qFormat/>
    <w:uiPriority w:val="0"/>
    <w:rPr>
      <w:rFonts w:eastAsia="黑体"/>
      <w:kern w:val="2"/>
      <w:sz w:val="21"/>
      <w:szCs w:val="24"/>
    </w:rPr>
  </w:style>
  <w:style w:type="paragraph" w:customStyle="1" w:styleId="114">
    <w:name w:val="表中字"/>
    <w:link w:val="117"/>
    <w:autoRedefine/>
    <w:qFormat/>
    <w:uiPriority w:val="0"/>
    <w:pPr>
      <w:jc w:val="center"/>
    </w:pPr>
    <w:rPr>
      <w:rFonts w:ascii="Times New Roman" w:hAnsi="Times New Roman" w:eastAsia="宋体" w:cs="Times New Roman"/>
      <w:kern w:val="2"/>
      <w:sz w:val="21"/>
      <w:szCs w:val="22"/>
      <w:lang w:val="zh-CN" w:eastAsia="zh-CN" w:bidi="ar-SA"/>
    </w:rPr>
  </w:style>
  <w:style w:type="paragraph" w:customStyle="1" w:styleId="115">
    <w:name w:val="表头1"/>
    <w:basedOn w:val="1"/>
    <w:link w:val="116"/>
    <w:autoRedefine/>
    <w:qFormat/>
    <w:uiPriority w:val="0"/>
    <w:pPr>
      <w:adjustRightInd w:val="0"/>
      <w:snapToGrid w:val="0"/>
      <w:jc w:val="center"/>
    </w:pPr>
    <w:rPr>
      <w:rFonts w:eastAsia="黑体"/>
      <w:sz w:val="24"/>
      <w:szCs w:val="20"/>
    </w:rPr>
  </w:style>
  <w:style w:type="character" w:customStyle="1" w:styleId="116">
    <w:name w:val="表头1 Char"/>
    <w:link w:val="115"/>
    <w:autoRedefine/>
    <w:qFormat/>
    <w:uiPriority w:val="0"/>
    <w:rPr>
      <w:rFonts w:eastAsia="黑体"/>
      <w:kern w:val="2"/>
      <w:sz w:val="24"/>
    </w:rPr>
  </w:style>
  <w:style w:type="character" w:customStyle="1" w:styleId="117">
    <w:name w:val="表中字 Char"/>
    <w:link w:val="114"/>
    <w:autoRedefine/>
    <w:qFormat/>
    <w:uiPriority w:val="0"/>
    <w:rPr>
      <w:rFonts w:eastAsia="宋体"/>
      <w:kern w:val="2"/>
      <w:sz w:val="21"/>
      <w:szCs w:val="22"/>
      <w:lang w:val="zh-CN"/>
    </w:rPr>
  </w:style>
  <w:style w:type="paragraph" w:customStyle="1" w:styleId="118">
    <w:name w:val="表文"/>
    <w:basedOn w:val="1"/>
    <w:link w:val="119"/>
    <w:autoRedefine/>
    <w:qFormat/>
    <w:uiPriority w:val="0"/>
    <w:pPr>
      <w:jc w:val="center"/>
      <w:textAlignment w:val="center"/>
    </w:pPr>
    <w:rPr>
      <w:rFonts w:ascii="宋体" w:hAnsi="宋体" w:eastAsia="宋体" w:cs="宋体"/>
      <w:bCs/>
      <w:iCs/>
      <w:kern w:val="0"/>
      <w:sz w:val="24"/>
      <w:szCs w:val="21"/>
    </w:rPr>
  </w:style>
  <w:style w:type="character" w:customStyle="1" w:styleId="119">
    <w:name w:val="表文 Char"/>
    <w:link w:val="118"/>
    <w:autoRedefine/>
    <w:qFormat/>
    <w:uiPriority w:val="0"/>
    <w:rPr>
      <w:rFonts w:ascii="宋体" w:hAnsi="宋体" w:eastAsia="宋体" w:cs="宋体"/>
      <w:bCs/>
      <w:iCs/>
      <w:sz w:val="24"/>
      <w:szCs w:val="21"/>
    </w:rPr>
  </w:style>
  <w:style w:type="paragraph" w:customStyle="1" w:styleId="120">
    <w:name w:val="首行缩进表格正文"/>
    <w:basedOn w:val="1"/>
    <w:autoRedefine/>
    <w:qFormat/>
    <w:uiPriority w:val="0"/>
    <w:pPr>
      <w:spacing w:line="360" w:lineRule="auto"/>
      <w:ind w:firstLine="720" w:firstLineChars="200"/>
      <w:jc w:val="left"/>
    </w:pPr>
    <w:rPr>
      <w:rFonts w:hint="eastAsia" w:eastAsia="宋体"/>
      <w:szCs w:val="20"/>
    </w:rPr>
  </w:style>
  <w:style w:type="paragraph" w:customStyle="1" w:styleId="121">
    <w:name w:val="居中表格内容"/>
    <w:basedOn w:val="1"/>
    <w:autoRedefine/>
    <w:qFormat/>
    <w:uiPriority w:val="0"/>
    <w:pPr>
      <w:jc w:val="center"/>
    </w:pPr>
    <w:rPr>
      <w:rFonts w:hint="eastAsia" w:eastAsia="宋体"/>
      <w:szCs w:val="20"/>
    </w:rPr>
  </w:style>
  <w:style w:type="character" w:customStyle="1" w:styleId="122">
    <w:name w:val="标题 3 Char"/>
    <w:basedOn w:val="35"/>
    <w:link w:val="4"/>
    <w:autoRedefine/>
    <w:semiHidden/>
    <w:qFormat/>
    <w:uiPriority w:val="0"/>
    <w:rPr>
      <w:rFonts w:eastAsia="宋体"/>
      <w:b/>
      <w:bCs/>
      <w:kern w:val="2"/>
      <w:sz w:val="32"/>
      <w:szCs w:val="32"/>
    </w:rPr>
  </w:style>
  <w:style w:type="paragraph" w:customStyle="1" w:styleId="123">
    <w:name w:val="样式5"/>
    <w:basedOn w:val="1"/>
    <w:autoRedefine/>
    <w:qFormat/>
    <w:uiPriority w:val="0"/>
    <w:pPr>
      <w:spacing w:line="380" w:lineRule="exact"/>
      <w:ind w:firstLine="566" w:firstLineChars="202"/>
    </w:pPr>
    <w:rPr>
      <w:rFonts w:eastAsia="华文行楷"/>
      <w:sz w:val="24"/>
    </w:rPr>
  </w:style>
  <w:style w:type="character" w:customStyle="1" w:styleId="124">
    <w:name w:val="标题 1 Char"/>
    <w:link w:val="2"/>
    <w:autoRedefine/>
    <w:qFormat/>
    <w:uiPriority w:val="0"/>
    <w:rPr>
      <w:rFonts w:eastAsia="黑体"/>
      <w:b/>
      <w:bCs/>
      <w:color w:val="000000"/>
      <w:kern w:val="44"/>
      <w:sz w:val="30"/>
      <w:szCs w:val="30"/>
    </w:rPr>
  </w:style>
  <w:style w:type="character" w:customStyle="1" w:styleId="125">
    <w:name w:val="文档结构图 Char"/>
    <w:basedOn w:val="35"/>
    <w:link w:val="9"/>
    <w:autoRedefine/>
    <w:qFormat/>
    <w:uiPriority w:val="0"/>
    <w:rPr>
      <w:rFonts w:ascii="宋体" w:eastAsia="宋体"/>
      <w:kern w:val="2"/>
      <w:sz w:val="18"/>
      <w:szCs w:val="18"/>
    </w:rPr>
  </w:style>
  <w:style w:type="character" w:customStyle="1" w:styleId="126">
    <w:name w:val="信息标题 Char"/>
    <w:basedOn w:val="35"/>
    <w:link w:val="27"/>
    <w:autoRedefine/>
    <w:qFormat/>
    <w:uiPriority w:val="0"/>
    <w:rPr>
      <w:rFonts w:ascii="Arial" w:hAnsi="Arial" w:eastAsia="宋体" w:cs="Arial"/>
      <w:kern w:val="2"/>
      <w:sz w:val="24"/>
      <w:szCs w:val="24"/>
      <w:shd w:val="pct20" w:color="auto" w:fill="auto"/>
    </w:rPr>
  </w:style>
  <w:style w:type="paragraph" w:customStyle="1" w:styleId="127">
    <w:name w:val="样式 正文首行缩进 + 首行缩进:  2 字符1"/>
    <w:basedOn w:val="1"/>
    <w:next w:val="23"/>
    <w:autoRedefine/>
    <w:qFormat/>
    <w:uiPriority w:val="0"/>
    <w:pPr>
      <w:spacing w:line="360" w:lineRule="auto"/>
      <w:ind w:firstLine="480" w:firstLineChars="200"/>
    </w:pPr>
    <w:rPr>
      <w:rFonts w:eastAsia="宋体"/>
      <w:sz w:val="24"/>
    </w:rPr>
  </w:style>
  <w:style w:type="character" w:customStyle="1" w:styleId="128">
    <w:name w:val="图表格式 无缩进居中 Char"/>
    <w:link w:val="129"/>
    <w:autoRedefine/>
    <w:qFormat/>
    <w:uiPriority w:val="0"/>
    <w:rPr>
      <w:szCs w:val="21"/>
    </w:rPr>
  </w:style>
  <w:style w:type="paragraph" w:customStyle="1" w:styleId="129">
    <w:name w:val="图表格式 无缩进居中"/>
    <w:basedOn w:val="1"/>
    <w:link w:val="128"/>
    <w:autoRedefine/>
    <w:qFormat/>
    <w:uiPriority w:val="0"/>
    <w:pPr>
      <w:adjustRightInd w:val="0"/>
      <w:jc w:val="center"/>
    </w:pPr>
    <w:rPr>
      <w:kern w:val="0"/>
      <w:sz w:val="20"/>
      <w:szCs w:val="21"/>
    </w:rPr>
  </w:style>
  <w:style w:type="paragraph" w:customStyle="1" w:styleId="130">
    <w:name w:val="新正文"/>
    <w:basedOn w:val="1"/>
    <w:autoRedefine/>
    <w:qFormat/>
    <w:uiPriority w:val="0"/>
    <w:pPr>
      <w:spacing w:line="500" w:lineRule="exact"/>
      <w:ind w:firstLine="200" w:firstLineChars="200"/>
    </w:pPr>
    <w:rPr>
      <w:rFonts w:ascii="宋体" w:hAnsi="宋体" w:eastAsia="宋体"/>
      <w:kern w:val="0"/>
      <w:sz w:val="24"/>
    </w:rPr>
  </w:style>
  <w:style w:type="paragraph" w:customStyle="1" w:styleId="131">
    <w:name w:val="1黑体头"/>
    <w:basedOn w:val="1"/>
    <w:autoRedefine/>
    <w:qFormat/>
    <w:uiPriority w:val="0"/>
    <w:pPr>
      <w:spacing w:line="360" w:lineRule="auto"/>
      <w:ind w:firstLine="479" w:firstLineChars="199"/>
      <w:jc w:val="left"/>
    </w:pPr>
    <w:rPr>
      <w:rFonts w:ascii="Verdana" w:hAnsi="Verdana" w:eastAsia="宋体"/>
      <w:b/>
      <w:sz w:val="24"/>
      <w:lang w:eastAsia="en-US"/>
    </w:rPr>
  </w:style>
  <w:style w:type="paragraph" w:customStyle="1" w:styleId="132">
    <w:name w:val="A正文"/>
    <w:basedOn w:val="1"/>
    <w:autoRedefine/>
    <w:qFormat/>
    <w:uiPriority w:val="0"/>
    <w:pPr>
      <w:spacing w:line="360" w:lineRule="auto"/>
      <w:ind w:firstLine="480" w:firstLineChars="200"/>
    </w:pPr>
    <w:rPr>
      <w:rFonts w:eastAsia="宋体"/>
      <w:kern w:val="0"/>
      <w:sz w:val="24"/>
    </w:rPr>
  </w:style>
  <w:style w:type="paragraph" w:customStyle="1" w:styleId="133">
    <w:name w:val="表格内容居中"/>
    <w:basedOn w:val="1"/>
    <w:autoRedefine/>
    <w:qFormat/>
    <w:uiPriority w:val="0"/>
    <w:pPr>
      <w:jc w:val="center"/>
    </w:pPr>
    <w:rPr>
      <w:rFonts w:eastAsia="宋体"/>
      <w:kern w:val="0"/>
      <w:szCs w:val="20"/>
    </w:rPr>
  </w:style>
  <w:style w:type="paragraph" w:customStyle="1" w:styleId="134">
    <w:name w:val="Char Char Char Char Char Char Char"/>
    <w:basedOn w:val="1"/>
    <w:autoRedefine/>
    <w:qFormat/>
    <w:uiPriority w:val="0"/>
    <w:pPr>
      <w:spacing w:line="360" w:lineRule="auto"/>
      <w:ind w:firstLine="480" w:firstLineChars="200"/>
    </w:pPr>
    <w:rPr>
      <w:rFonts w:eastAsia="宋体"/>
      <w:sz w:val="24"/>
    </w:rPr>
  </w:style>
  <w:style w:type="paragraph" w:customStyle="1" w:styleId="135">
    <w:name w:val="Body text 1"/>
    <w:basedOn w:val="1"/>
    <w:autoRedefine/>
    <w:qFormat/>
    <w:uiPriority w:val="0"/>
    <w:pPr>
      <w:spacing w:line="360" w:lineRule="auto"/>
      <w:ind w:firstLine="475" w:firstLineChars="200"/>
      <w:jc w:val="left"/>
    </w:pPr>
    <w:rPr>
      <w:rFonts w:eastAsia="宋体"/>
      <w:snapToGrid w:val="0"/>
      <w:kern w:val="0"/>
      <w:sz w:val="24"/>
    </w:rPr>
  </w:style>
  <w:style w:type="paragraph" w:customStyle="1" w:styleId="136">
    <w:name w:val="中文报告书样式"/>
    <w:basedOn w:val="1"/>
    <w:autoRedefine/>
    <w:qFormat/>
    <w:uiPriority w:val="0"/>
    <w:pPr>
      <w:adjustRightInd w:val="0"/>
      <w:spacing w:line="480" w:lineRule="atLeast"/>
      <w:ind w:firstLine="482" w:firstLineChars="200"/>
      <w:textAlignment w:val="baseline"/>
    </w:pPr>
    <w:rPr>
      <w:rFonts w:eastAsia="宋体"/>
      <w:kern w:val="24"/>
      <w:sz w:val="24"/>
    </w:rPr>
  </w:style>
  <w:style w:type="character" w:customStyle="1" w:styleId="137">
    <w:name w:val="正文1 Char"/>
    <w:autoRedefine/>
    <w:qFormat/>
    <w:uiPriority w:val="0"/>
    <w:rPr>
      <w:kern w:val="2"/>
      <w:sz w:val="24"/>
      <w:szCs w:val="24"/>
    </w:rPr>
  </w:style>
  <w:style w:type="paragraph" w:customStyle="1" w:styleId="138">
    <w:name w:val="报告书正文"/>
    <w:basedOn w:val="1"/>
    <w:autoRedefine/>
    <w:qFormat/>
    <w:uiPriority w:val="0"/>
    <w:pPr>
      <w:adjustRightInd w:val="0"/>
      <w:snapToGrid w:val="0"/>
      <w:spacing w:line="360" w:lineRule="auto"/>
      <w:ind w:firstLine="425" w:firstLineChars="200"/>
      <w:textAlignment w:val="baseline"/>
    </w:pPr>
    <w:rPr>
      <w:rFonts w:ascii="Arial" w:hAnsi="Arial" w:eastAsia="宋体"/>
      <w:kern w:val="0"/>
      <w:sz w:val="24"/>
    </w:rPr>
  </w:style>
  <w:style w:type="paragraph" w:customStyle="1" w:styleId="139">
    <w:name w:val="Char Char Char Char Char Char Char1"/>
    <w:basedOn w:val="1"/>
    <w:autoRedefine/>
    <w:qFormat/>
    <w:uiPriority w:val="0"/>
    <w:pPr>
      <w:spacing w:line="360" w:lineRule="auto"/>
      <w:ind w:firstLine="200" w:firstLineChars="200"/>
    </w:pPr>
    <w:rPr>
      <w:rFonts w:ascii="宋体" w:hAnsi="宋体" w:eastAsia="宋体" w:cs="宋体"/>
      <w:sz w:val="24"/>
    </w:rPr>
  </w:style>
  <w:style w:type="paragraph" w:customStyle="1" w:styleId="140">
    <w:name w:val="正文样式1"/>
    <w:basedOn w:val="1"/>
    <w:autoRedefine/>
    <w:qFormat/>
    <w:uiPriority w:val="0"/>
    <w:pPr>
      <w:adjustRightInd w:val="0"/>
      <w:spacing w:line="288" w:lineRule="auto"/>
      <w:ind w:firstLine="360" w:firstLineChars="150"/>
      <w:textAlignment w:val="baseline"/>
    </w:pPr>
    <w:rPr>
      <w:rFonts w:eastAsia="宋体"/>
      <w:kern w:val="0"/>
      <w:sz w:val="24"/>
    </w:rPr>
  </w:style>
  <w:style w:type="paragraph" w:customStyle="1" w:styleId="141">
    <w:name w:val="G---正文"/>
    <w:basedOn w:val="1"/>
    <w:autoRedefine/>
    <w:qFormat/>
    <w:uiPriority w:val="0"/>
    <w:pPr>
      <w:widowControl/>
      <w:spacing w:line="360" w:lineRule="auto"/>
      <w:ind w:firstLine="480" w:firstLineChars="200"/>
    </w:pPr>
    <w:rPr>
      <w:rFonts w:eastAsia="宋体"/>
      <w:kern w:val="44"/>
      <w:sz w:val="20"/>
    </w:rPr>
  </w:style>
  <w:style w:type="paragraph" w:customStyle="1" w:styleId="142">
    <w:name w:val="表中文字（工大）"/>
    <w:basedOn w:val="1"/>
    <w:autoRedefine/>
    <w:qFormat/>
    <w:uiPriority w:val="0"/>
    <w:pPr>
      <w:spacing w:line="440" w:lineRule="exact"/>
      <w:ind w:firstLine="480" w:firstLineChars="200"/>
      <w:jc w:val="center"/>
    </w:pPr>
    <w:rPr>
      <w:rFonts w:eastAsia="宋体"/>
      <w:szCs w:val="20"/>
    </w:rPr>
  </w:style>
  <w:style w:type="paragraph" w:customStyle="1" w:styleId="143">
    <w:name w:val="表格中文字"/>
    <w:basedOn w:val="144"/>
    <w:autoRedefine/>
    <w:qFormat/>
    <w:uiPriority w:val="0"/>
    <w:pPr>
      <w:spacing w:line="360" w:lineRule="exact"/>
      <w:ind w:firstLine="480" w:firstLineChars="200"/>
    </w:pPr>
    <w:rPr>
      <w:rFonts w:eastAsia="宋体"/>
      <w:sz w:val="24"/>
      <w:szCs w:val="21"/>
    </w:rPr>
  </w:style>
  <w:style w:type="paragraph" w:customStyle="1" w:styleId="144">
    <w:name w:val="填表正文"/>
    <w:basedOn w:val="1"/>
    <w:qFormat/>
    <w:uiPriority w:val="0"/>
    <w:pPr>
      <w:adjustRightInd w:val="0"/>
      <w:snapToGrid w:val="0"/>
      <w:jc w:val="center"/>
    </w:pPr>
    <w:rPr>
      <w:rFonts w:ascii="宋体" w:hAnsi="Calibri"/>
      <w:color w:val="000000"/>
      <w:kern w:val="0"/>
      <w:szCs w:val="44"/>
    </w:rPr>
  </w:style>
  <w:style w:type="paragraph" w:customStyle="1" w:styleId="145">
    <w:name w:val="正文----------------"/>
    <w:basedOn w:val="1"/>
    <w:autoRedefine/>
    <w:qFormat/>
    <w:uiPriority w:val="0"/>
    <w:pPr>
      <w:spacing w:line="440" w:lineRule="exact"/>
      <w:ind w:firstLine="544" w:firstLineChars="200"/>
    </w:pPr>
    <w:rPr>
      <w:rFonts w:eastAsia="宋体" w:cs="宋体"/>
      <w:spacing w:val="16"/>
      <w:sz w:val="24"/>
    </w:rPr>
  </w:style>
  <w:style w:type="paragraph" w:customStyle="1" w:styleId="146">
    <w:name w:val="表格样式"/>
    <w:basedOn w:val="1"/>
    <w:autoRedefine/>
    <w:qFormat/>
    <w:uiPriority w:val="0"/>
    <w:pPr>
      <w:ind w:left="105" w:leftChars="50" w:right="105" w:rightChars="50"/>
    </w:pPr>
    <w:rPr>
      <w:rFonts w:ascii="宋体" w:eastAsia="宋体"/>
      <w:color w:val="FF0000"/>
      <w:szCs w:val="21"/>
    </w:rPr>
  </w:style>
  <w:style w:type="paragraph" w:customStyle="1" w:styleId="147">
    <w:name w:val="报告表正文"/>
    <w:basedOn w:val="1"/>
    <w:autoRedefine/>
    <w:qFormat/>
    <w:uiPriority w:val="0"/>
    <w:pPr>
      <w:adjustRightInd w:val="0"/>
      <w:spacing w:line="312" w:lineRule="auto"/>
      <w:ind w:left="113" w:right="113" w:firstLine="482" w:firstLineChars="200"/>
      <w:jc w:val="left"/>
      <w:textAlignment w:val="baseline"/>
    </w:pPr>
    <w:rPr>
      <w:rFonts w:eastAsia="宋体"/>
      <w:kern w:val="0"/>
      <w:sz w:val="24"/>
    </w:rPr>
  </w:style>
  <w:style w:type="character" w:customStyle="1" w:styleId="148">
    <w:name w:val="3级标题- 字符"/>
    <w:link w:val="149"/>
    <w:autoRedefine/>
    <w:qFormat/>
    <w:uiPriority w:val="0"/>
    <w:rPr>
      <w:rFonts w:eastAsia="黑体"/>
      <w:color w:val="000000"/>
      <w:sz w:val="24"/>
      <w:szCs w:val="24"/>
    </w:rPr>
  </w:style>
  <w:style w:type="paragraph" w:customStyle="1" w:styleId="149">
    <w:name w:val="3级标题-"/>
    <w:basedOn w:val="1"/>
    <w:link w:val="148"/>
    <w:autoRedefine/>
    <w:qFormat/>
    <w:uiPriority w:val="0"/>
    <w:pPr>
      <w:adjustRightInd w:val="0"/>
      <w:snapToGrid w:val="0"/>
      <w:spacing w:line="500" w:lineRule="exact"/>
      <w:outlineLvl w:val="2"/>
    </w:pPr>
    <w:rPr>
      <w:rFonts w:eastAsia="黑体"/>
      <w:color w:val="000000"/>
      <w:kern w:val="0"/>
      <w:sz w:val="24"/>
    </w:rPr>
  </w:style>
  <w:style w:type="character" w:customStyle="1" w:styleId="150">
    <w:name w:val="2级标题- 字符"/>
    <w:link w:val="151"/>
    <w:autoRedefine/>
    <w:qFormat/>
    <w:uiPriority w:val="0"/>
    <w:rPr>
      <w:rFonts w:eastAsia="黑体"/>
      <w:bCs/>
      <w:color w:val="000000"/>
      <w:sz w:val="28"/>
      <w:szCs w:val="24"/>
    </w:rPr>
  </w:style>
  <w:style w:type="paragraph" w:customStyle="1" w:styleId="151">
    <w:name w:val="2级标题-"/>
    <w:basedOn w:val="3"/>
    <w:link w:val="150"/>
    <w:autoRedefine/>
    <w:qFormat/>
    <w:uiPriority w:val="0"/>
    <w:pPr>
      <w:adjustRightInd w:val="0"/>
      <w:snapToGrid w:val="0"/>
      <w:spacing w:before="0" w:after="0" w:line="500" w:lineRule="exact"/>
    </w:pPr>
    <w:rPr>
      <w:rFonts w:ascii="Times New Roman" w:hAnsi="Times New Roman" w:eastAsia="黑体" w:cs="Times New Roman"/>
      <w:b w:val="0"/>
      <w:color w:val="000000"/>
      <w:kern w:val="0"/>
      <w:sz w:val="28"/>
      <w:szCs w:val="24"/>
    </w:rPr>
  </w:style>
  <w:style w:type="character" w:customStyle="1" w:styleId="152">
    <w:name w:val="【表中文字】 Char Char"/>
    <w:autoRedefine/>
    <w:qFormat/>
    <w:uiPriority w:val="0"/>
    <w:rPr>
      <w:rFonts w:hAnsi="宋体"/>
      <w:szCs w:val="21"/>
    </w:rPr>
  </w:style>
  <w:style w:type="character" w:customStyle="1" w:styleId="153">
    <w:name w:val="4级标题- 字符"/>
    <w:link w:val="154"/>
    <w:autoRedefine/>
    <w:qFormat/>
    <w:uiPriority w:val="0"/>
    <w:rPr>
      <w:rFonts w:eastAsia="黑体"/>
      <w:bCs/>
      <w:color w:val="000000"/>
      <w:sz w:val="24"/>
      <w:szCs w:val="24"/>
    </w:rPr>
  </w:style>
  <w:style w:type="paragraph" w:customStyle="1" w:styleId="154">
    <w:name w:val="4级标题-"/>
    <w:basedOn w:val="1"/>
    <w:link w:val="153"/>
    <w:autoRedefine/>
    <w:qFormat/>
    <w:uiPriority w:val="0"/>
    <w:pPr>
      <w:adjustRightInd w:val="0"/>
      <w:snapToGrid w:val="0"/>
      <w:spacing w:line="500" w:lineRule="exact"/>
      <w:outlineLvl w:val="3"/>
    </w:pPr>
    <w:rPr>
      <w:rFonts w:eastAsia="黑体"/>
      <w:bCs/>
      <w:color w:val="000000"/>
      <w:kern w:val="0"/>
      <w:sz w:val="24"/>
    </w:rPr>
  </w:style>
  <w:style w:type="character" w:customStyle="1" w:styleId="155">
    <w:name w:val="1级标题- 字符"/>
    <w:link w:val="156"/>
    <w:autoRedefine/>
    <w:qFormat/>
    <w:uiPriority w:val="0"/>
    <w:rPr>
      <w:rFonts w:eastAsia="黑体"/>
      <w:bCs/>
      <w:color w:val="000000"/>
      <w:kern w:val="44"/>
      <w:sz w:val="32"/>
      <w:szCs w:val="24"/>
    </w:rPr>
  </w:style>
  <w:style w:type="paragraph" w:customStyle="1" w:styleId="156">
    <w:name w:val="1级标题-"/>
    <w:basedOn w:val="2"/>
    <w:link w:val="155"/>
    <w:autoRedefine/>
    <w:qFormat/>
    <w:uiPriority w:val="0"/>
    <w:pPr>
      <w:keepLines/>
      <w:overflowPunct/>
      <w:adjustRightInd w:val="0"/>
      <w:spacing w:before="0" w:after="0" w:line="500" w:lineRule="exact"/>
      <w:ind w:left="0" w:firstLine="0"/>
    </w:pPr>
    <w:rPr>
      <w:b w:val="0"/>
      <w:sz w:val="32"/>
      <w:szCs w:val="24"/>
    </w:rPr>
  </w:style>
  <w:style w:type="paragraph" w:customStyle="1" w:styleId="157">
    <w:name w:val="表格文字"/>
    <w:basedOn w:val="1"/>
    <w:link w:val="158"/>
    <w:autoRedefine/>
    <w:qFormat/>
    <w:uiPriority w:val="0"/>
    <w:pPr>
      <w:tabs>
        <w:tab w:val="left" w:pos="146"/>
      </w:tabs>
      <w:spacing w:line="240" w:lineRule="exact"/>
      <w:ind w:right="-55" w:rightChars="-55"/>
      <w:jc w:val="center"/>
    </w:pPr>
    <w:rPr>
      <w:rFonts w:ascii="宋体" w:hAnsi="宋体" w:eastAsia="宋体"/>
      <w:snapToGrid w:val="0"/>
      <w:spacing w:val="6"/>
      <w:kern w:val="0"/>
      <w:sz w:val="24"/>
      <w:szCs w:val="20"/>
    </w:rPr>
  </w:style>
  <w:style w:type="character" w:customStyle="1" w:styleId="158">
    <w:name w:val="表格文字 Char"/>
    <w:link w:val="157"/>
    <w:autoRedefine/>
    <w:qFormat/>
    <w:uiPriority w:val="0"/>
    <w:rPr>
      <w:rFonts w:ascii="宋体" w:hAnsi="宋体" w:eastAsia="宋体"/>
      <w:snapToGrid w:val="0"/>
      <w:spacing w:val="6"/>
      <w:sz w:val="24"/>
    </w:rPr>
  </w:style>
  <w:style w:type="character" w:customStyle="1" w:styleId="159">
    <w:name w:val="样式 黑体 居中 行距: 1.5 倍行距 Char"/>
    <w:link w:val="160"/>
    <w:autoRedefine/>
    <w:qFormat/>
    <w:uiPriority w:val="0"/>
    <w:rPr>
      <w:rFonts w:ascii="黑体" w:hAnsi="黑体" w:eastAsia="黑体" w:cs="宋体"/>
      <w:sz w:val="24"/>
    </w:rPr>
  </w:style>
  <w:style w:type="paragraph" w:customStyle="1" w:styleId="160">
    <w:name w:val="样式 黑体 居中 行距: 1.5 倍行距"/>
    <w:basedOn w:val="1"/>
    <w:link w:val="159"/>
    <w:autoRedefine/>
    <w:qFormat/>
    <w:uiPriority w:val="0"/>
    <w:pPr>
      <w:spacing w:line="360" w:lineRule="auto"/>
      <w:jc w:val="center"/>
    </w:pPr>
    <w:rPr>
      <w:rFonts w:ascii="黑体" w:hAnsi="黑体" w:eastAsia="黑体" w:cs="宋体"/>
      <w:kern w:val="0"/>
      <w:sz w:val="24"/>
      <w:szCs w:val="20"/>
    </w:rPr>
  </w:style>
  <w:style w:type="character" w:styleId="161">
    <w:name w:val="Placeholder Text"/>
    <w:basedOn w:val="35"/>
    <w:autoRedefine/>
    <w:semiHidden/>
    <w:qFormat/>
    <w:uiPriority w:val="99"/>
    <w:rPr>
      <w:color w:val="808080"/>
    </w:rPr>
  </w:style>
  <w:style w:type="character" w:customStyle="1" w:styleId="162">
    <w:name w:val="text-only"/>
    <w:basedOn w:val="35"/>
    <w:autoRedefine/>
    <w:qFormat/>
    <w:uiPriority w:val="0"/>
  </w:style>
  <w:style w:type="paragraph" w:customStyle="1" w:styleId="163">
    <w:name w:val="p0"/>
    <w:basedOn w:val="1"/>
    <w:autoRedefine/>
    <w:qFormat/>
    <w:uiPriority w:val="0"/>
    <w:pPr>
      <w:widowControl/>
    </w:pPr>
    <w:rPr>
      <w:rFonts w:eastAsia="宋体"/>
      <w:kern w:val="0"/>
      <w:sz w:val="20"/>
      <w:szCs w:val="21"/>
    </w:rPr>
  </w:style>
  <w:style w:type="character" w:customStyle="1" w:styleId="164">
    <w:name w:val="C【表头】 字符"/>
    <w:link w:val="165"/>
    <w:autoRedefine/>
    <w:qFormat/>
    <w:locked/>
    <w:uiPriority w:val="0"/>
    <w:rPr>
      <w:rFonts w:ascii="黑体" w:hAnsi="黑体" w:eastAsia="黑体" w:cs="宋体"/>
      <w:sz w:val="21"/>
    </w:rPr>
  </w:style>
  <w:style w:type="paragraph" w:customStyle="1" w:styleId="165">
    <w:name w:val="C【表头】"/>
    <w:basedOn w:val="1"/>
    <w:link w:val="164"/>
    <w:autoRedefine/>
    <w:qFormat/>
    <w:uiPriority w:val="0"/>
    <w:pPr>
      <w:widowControl/>
      <w:adjustRightInd w:val="0"/>
      <w:snapToGrid w:val="0"/>
      <w:jc w:val="center"/>
    </w:pPr>
    <w:rPr>
      <w:rFonts w:ascii="黑体" w:hAnsi="黑体" w:eastAsia="黑体" w:cs="宋体"/>
      <w:kern w:val="0"/>
      <w:szCs w:val="20"/>
    </w:rPr>
  </w:style>
  <w:style w:type="paragraph" w:customStyle="1" w:styleId="166">
    <w:name w:val="样式 C首行缩进正文 + 小四 首行缩进:  2 字符"/>
    <w:basedOn w:val="1"/>
    <w:autoRedefine/>
    <w:qFormat/>
    <w:uiPriority w:val="0"/>
    <w:pPr>
      <w:spacing w:line="360" w:lineRule="auto"/>
      <w:ind w:firstLine="480" w:firstLineChars="200"/>
    </w:pPr>
    <w:rPr>
      <w:rFonts w:eastAsia="宋体" w:cs="宋体"/>
      <w:color w:val="000000" w:themeColor="text1"/>
      <w:kern w:val="0"/>
      <w:szCs w:val="20"/>
      <w14:textFill>
        <w14:solidFill>
          <w14:schemeClr w14:val="tx1"/>
        </w14:solidFill>
      </w14:textFill>
    </w:rPr>
  </w:style>
  <w:style w:type="paragraph" w:customStyle="1" w:styleId="167">
    <w:name w:val="UserStyle_0"/>
    <w:basedOn w:val="1"/>
    <w:next w:val="1"/>
    <w:autoRedefine/>
    <w:qFormat/>
    <w:uiPriority w:val="0"/>
    <w:pPr>
      <w:spacing w:after="120" w:line="360" w:lineRule="auto"/>
      <w:ind w:firstLine="480" w:firstLineChars="200"/>
      <w:textAlignment w:val="baseline"/>
    </w:pPr>
    <w:rPr>
      <w:rFonts w:ascii="Calibri" w:hAnsi="Calibri" w:eastAsia="宋体"/>
      <w:sz w:val="24"/>
      <w:szCs w:val="22"/>
    </w:rPr>
  </w:style>
  <w:style w:type="paragraph" w:customStyle="1" w:styleId="168">
    <w:name w:val="a正文"/>
    <w:basedOn w:val="169"/>
    <w:autoRedefine/>
    <w:qFormat/>
    <w:uiPriority w:val="0"/>
    <w:pPr>
      <w:spacing w:line="520" w:lineRule="exact"/>
      <w:ind w:firstLine="200"/>
    </w:pPr>
    <w:rPr>
      <w:sz w:val="24"/>
    </w:rPr>
  </w:style>
  <w:style w:type="paragraph" w:customStyle="1" w:styleId="169">
    <w:name w:val="正文格式"/>
    <w:basedOn w:val="1"/>
    <w:autoRedefine/>
    <w:qFormat/>
    <w:uiPriority w:val="0"/>
    <w:pPr>
      <w:spacing w:line="360" w:lineRule="auto"/>
      <w:ind w:firstLine="420" w:firstLineChars="200"/>
    </w:pPr>
    <w:rPr>
      <w:kern w:val="0"/>
      <w:szCs w:val="21"/>
    </w:rPr>
  </w:style>
  <w:style w:type="paragraph" w:customStyle="1" w:styleId="170">
    <w:name w:val="Table Text"/>
    <w:basedOn w:val="1"/>
    <w:autoRedefine/>
    <w:semiHidden/>
    <w:qFormat/>
    <w:uiPriority w:val="0"/>
    <w:rPr>
      <w:rFonts w:ascii="宋体" w:hAnsi="宋体" w:eastAsia="宋体" w:cs="宋体"/>
      <w:szCs w:val="21"/>
      <w:lang w:eastAsia="en-US"/>
    </w:rPr>
  </w:style>
  <w:style w:type="table" w:customStyle="1" w:styleId="171">
    <w:name w:val="Table Normal"/>
    <w:autoRedefine/>
    <w:semiHidden/>
    <w:unhideWhenUsed/>
    <w:qFormat/>
    <w:uiPriority w:val="0"/>
    <w:tblPr>
      <w:tblCellMar>
        <w:top w:w="0" w:type="dxa"/>
        <w:left w:w="0" w:type="dxa"/>
        <w:bottom w:w="0" w:type="dxa"/>
        <w:right w:w="0" w:type="dxa"/>
      </w:tblCellMar>
    </w:tblPr>
  </w:style>
  <w:style w:type="paragraph" w:customStyle="1" w:styleId="172">
    <w:name w:val="WPSOffice手动目录 1"/>
    <w:autoRedefine/>
    <w:qFormat/>
    <w:uiPriority w:val="0"/>
    <w:rPr>
      <w:rFonts w:ascii="Times New Roman" w:hAnsi="Times New Roman" w:cs="Times New Roman" w:eastAsiaTheme="minorEastAsia"/>
      <w:lang w:val="en-US" w:eastAsia="zh-CN" w:bidi="ar-SA"/>
    </w:rPr>
  </w:style>
  <w:style w:type="character" w:customStyle="1" w:styleId="173">
    <w:name w:val="font41"/>
    <w:basedOn w:val="35"/>
    <w:autoRedefine/>
    <w:qFormat/>
    <w:uiPriority w:val="0"/>
    <w:rPr>
      <w:rFonts w:ascii="宋体" w:hAnsi="宋体" w:eastAsia="宋体" w:cs="宋体"/>
      <w:color w:val="000000"/>
      <w:sz w:val="14"/>
      <w:szCs w:val="14"/>
      <w:u w:val="none"/>
    </w:rPr>
  </w:style>
  <w:style w:type="paragraph" w:customStyle="1" w:styleId="174">
    <w:name w:val="《正文》"/>
    <w:basedOn w:val="1"/>
    <w:qFormat/>
    <w:uiPriority w:val="0"/>
    <w:pPr>
      <w:spacing w:line="360" w:lineRule="auto"/>
      <w:ind w:firstLine="200" w:firstLineChars="200"/>
    </w:pPr>
    <w:rPr>
      <w:sz w:val="24"/>
    </w:rPr>
  </w:style>
  <w:style w:type="paragraph" w:customStyle="1" w:styleId="175">
    <w:name w:val="表体"/>
    <w:basedOn w:val="25"/>
    <w:next w:val="1"/>
    <w:qFormat/>
    <w:uiPriority w:val="0"/>
    <w:pPr>
      <w:ind w:left="0" w:leftChars="0" w:firstLine="0" w:firstLineChars="0"/>
      <w:jc w:val="center"/>
    </w:pPr>
    <w:rPr>
      <w:szCs w:val="20"/>
    </w:rPr>
  </w:style>
  <w:style w:type="paragraph" w:customStyle="1" w:styleId="176">
    <w:name w:val="样式 标题 1 + 首行缩进:  2 字符"/>
    <w:basedOn w:val="2"/>
    <w:qFormat/>
    <w:uiPriority w:val="0"/>
    <w:pPr>
      <w:ind w:firstLine="200" w:firstLineChars="200"/>
      <w:jc w:val="center"/>
    </w:pPr>
    <w:rPr>
      <w:rFonts w:cs="宋体"/>
      <w:szCs w:val="20"/>
    </w:rPr>
  </w:style>
  <w:style w:type="paragraph" w:customStyle="1" w:styleId="177">
    <w:name w:val="表格正文"/>
    <w:basedOn w:val="1"/>
    <w:qFormat/>
    <w:uiPriority w:val="0"/>
    <w:pPr>
      <w:spacing w:line="320" w:lineRule="exact"/>
      <w:jc w:val="center"/>
    </w:pPr>
    <w:rPr>
      <w:rFonts w:cs="宋体"/>
    </w:rPr>
  </w:style>
  <w:style w:type="paragraph" w:customStyle="1" w:styleId="178">
    <w:name w:val="我的正文"/>
    <w:basedOn w:val="1"/>
    <w:qFormat/>
    <w:uiPriority w:val="0"/>
    <w:pPr>
      <w:adjustRightInd w:val="0"/>
      <w:snapToGrid w:val="0"/>
      <w:spacing w:line="480" w:lineRule="exact"/>
      <w:ind w:firstLine="720" w:firstLineChars="200"/>
      <w:jc w:val="left"/>
    </w:pPr>
    <w:rPr>
      <w:rFonts w:eastAsia="宋体" w:cs="宋体"/>
      <w:bCs/>
      <w:szCs w:val="21"/>
    </w:rPr>
  </w:style>
  <w:style w:type="paragraph" w:customStyle="1" w:styleId="179">
    <w:name w:val="C【表中文字】-"/>
    <w:basedOn w:val="73"/>
    <w:next w:val="168"/>
    <w:qFormat/>
    <w:uiPriority w:val="0"/>
  </w:style>
  <w:style w:type="paragraph" w:customStyle="1" w:styleId="180">
    <w:name w:val="报告表题注"/>
    <w:next w:val="181"/>
    <w:qFormat/>
    <w:uiPriority w:val="0"/>
    <w:pPr>
      <w:autoSpaceDE w:val="0"/>
      <w:autoSpaceDN w:val="0"/>
      <w:jc w:val="center"/>
    </w:pPr>
    <w:rPr>
      <w:rFonts w:ascii="Times New Roman" w:hAnsi="Times New Roman" w:eastAsia="宋体" w:cs="宋体"/>
      <w:b/>
      <w:sz w:val="24"/>
      <w:szCs w:val="21"/>
      <w:lang w:val="en-US" w:eastAsia="zh-CN" w:bidi="ar-SA"/>
    </w:rPr>
  </w:style>
  <w:style w:type="paragraph" w:customStyle="1" w:styleId="181">
    <w:name w:val="报告表专项情况正文"/>
    <w:qFormat/>
    <w:uiPriority w:val="0"/>
    <w:pPr>
      <w:autoSpaceDE w:val="0"/>
      <w:autoSpaceDN w:val="0"/>
      <w:adjustRightInd w:val="0"/>
      <w:snapToGrid w:val="0"/>
      <w:ind w:firstLine="720" w:firstLineChars="200"/>
      <w:jc w:val="both"/>
    </w:pPr>
    <w:rPr>
      <w:rFonts w:ascii="Times New Roman" w:hAnsi="Times New Roman" w:eastAsia="宋体" w:cs="宋体"/>
      <w:sz w:val="24"/>
      <w:szCs w:val="21"/>
      <w:lang w:val="en-US" w:eastAsia="zh-CN" w:bidi="ar-SA"/>
    </w:rPr>
  </w:style>
  <w:style w:type="paragraph" w:customStyle="1" w:styleId="182">
    <w:name w:val="附件与附图"/>
    <w:next w:val="1"/>
    <w:qFormat/>
    <w:uiPriority w:val="0"/>
    <w:pPr>
      <w:outlineLvl w:val="0"/>
    </w:pPr>
    <w:rPr>
      <w:rFonts w:hint="eastAsia" w:ascii="Times New Roman" w:hAnsi="Times New Roman" w:eastAsia="宋体" w:cs="Times New Roman"/>
      <w:b/>
      <w:sz w:val="30"/>
      <w:lang w:val="en-US" w:eastAsia="zh-CN" w:bidi="ar-SA"/>
    </w:rPr>
  </w:style>
  <w:style w:type="paragraph" w:customStyle="1" w:styleId="183">
    <w:name w:val="污染物汇总表"/>
    <w:basedOn w:val="1"/>
    <w:qFormat/>
    <w:uiPriority w:val="0"/>
    <w:pPr>
      <w:adjustRightInd w:val="0"/>
      <w:snapToGrid w:val="0"/>
      <w:spacing w:line="552" w:lineRule="auto"/>
      <w:jc w:val="center"/>
      <w:outlineLvl w:val="0"/>
    </w:pPr>
    <w:rPr>
      <w:rFonts w:ascii="方正小标宋_GBK" w:hAnsi="黑体" w:eastAsia="方正小标宋_GBK"/>
      <w:snapToGrid w:val="0"/>
      <w:sz w:val="38"/>
      <w:szCs w:val="38"/>
    </w:rPr>
  </w:style>
  <w:style w:type="paragraph" w:customStyle="1" w:styleId="184">
    <w:name w:val="zz一级标题"/>
    <w:next w:val="185"/>
    <w:qFormat/>
    <w:uiPriority w:val="0"/>
    <w:pPr>
      <w:pageBreakBefore/>
      <w:spacing w:line="360" w:lineRule="auto"/>
      <w:outlineLvl w:val="0"/>
    </w:pPr>
    <w:rPr>
      <w:rFonts w:hint="eastAsia" w:ascii="Times New Roman" w:hAnsi="Times New Roman" w:eastAsia="宋体" w:cs="宋体"/>
      <w:b/>
      <w:bCs/>
      <w:color w:val="000000" w:themeColor="text1"/>
      <w:sz w:val="24"/>
      <w:szCs w:val="21"/>
      <w:lang w:val="en-US" w:eastAsia="zh-CN" w:bidi="ar-SA"/>
      <w14:textFill>
        <w14:solidFill>
          <w14:schemeClr w14:val="tx1"/>
        </w14:solidFill>
      </w14:textFill>
    </w:rPr>
  </w:style>
  <w:style w:type="paragraph" w:customStyle="1" w:styleId="185">
    <w:name w:val="zz二级标题"/>
    <w:next w:val="186"/>
    <w:qFormat/>
    <w:uiPriority w:val="0"/>
    <w:pPr>
      <w:spacing w:line="360" w:lineRule="auto"/>
      <w:jc w:val="both"/>
      <w:outlineLvl w:val="1"/>
    </w:pPr>
    <w:rPr>
      <w:rFonts w:ascii="Times New Roman" w:hAnsi="Times New Roman" w:eastAsia="宋体" w:cstheme="minorBidi"/>
      <w:b/>
      <w:snapToGrid w:val="0"/>
      <w:color w:val="000000"/>
      <w:kern w:val="44"/>
      <w:sz w:val="24"/>
      <w:szCs w:val="30"/>
      <w:lang w:val="en-US" w:eastAsia="zh-CN" w:bidi="ar-SA"/>
    </w:rPr>
  </w:style>
  <w:style w:type="paragraph" w:customStyle="1" w:styleId="186">
    <w:name w:val="zz正文"/>
    <w:qFormat/>
    <w:uiPriority w:val="0"/>
    <w:pPr>
      <w:spacing w:line="360" w:lineRule="auto"/>
      <w:ind w:firstLine="720" w:firstLineChars="200"/>
    </w:pPr>
    <w:rPr>
      <w:rFonts w:ascii="Times New Roman" w:hAnsi="Times New Roman" w:eastAsia="宋体" w:cstheme="minorBidi"/>
      <w:snapToGrid w:val="0"/>
      <w:color w:val="000000"/>
      <w:kern w:val="44"/>
      <w:sz w:val="24"/>
      <w:szCs w:val="30"/>
      <w:lang w:val="en-US" w:eastAsia="zh-CN" w:bidi="ar-SA"/>
    </w:rPr>
  </w:style>
  <w:style w:type="paragraph" w:customStyle="1" w:styleId="187">
    <w:name w:val="报告表表格内容"/>
    <w:basedOn w:val="1"/>
    <w:qFormat/>
    <w:uiPriority w:val="0"/>
    <w:pPr>
      <w:jc w:val="center"/>
    </w:pPr>
    <w:rPr>
      <w:rFonts w:cs="宋体"/>
      <w:szCs w:val="21"/>
    </w:rPr>
  </w:style>
  <w:style w:type="paragraph" w:customStyle="1" w:styleId="188">
    <w:name w:val="zz表格格式"/>
    <w:next w:val="186"/>
    <w:qFormat/>
    <w:uiPriority w:val="0"/>
    <w:pPr>
      <w:jc w:val="center"/>
    </w:pPr>
    <w:rPr>
      <w:rFonts w:ascii="Times New Roman" w:hAnsi="Times New Roman" w:eastAsia="宋体" w:cstheme="minorBidi"/>
      <w:snapToGrid w:val="0"/>
      <w:color w:val="000000"/>
      <w:kern w:val="44"/>
      <w:sz w:val="21"/>
      <w:szCs w:val="30"/>
      <w:lang w:val="en-US" w:eastAsia="zh-CN" w:bidi="ar-SA"/>
    </w:rPr>
  </w:style>
  <w:style w:type="paragraph" w:customStyle="1" w:styleId="189">
    <w:name w:val="_Style 4"/>
    <w:qFormat/>
    <w:uiPriority w:val="99"/>
    <w:pPr>
      <w:widowControl w:val="0"/>
      <w:jc w:val="both"/>
    </w:pPr>
    <w:rPr>
      <w:rFonts w:ascii="Calibri" w:hAnsi="Calibri" w:eastAsia="仿宋_GB2312"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footer" Target="footer7.xml"/><Relationship Id="rId89" Type="http://schemas.openxmlformats.org/officeDocument/2006/relationships/customXml" Target="../customXml/item3.xml"/><Relationship Id="rId88" Type="http://schemas.openxmlformats.org/officeDocument/2006/relationships/customXml" Target="../customXml/item2.xml"/><Relationship Id="rId87" Type="http://schemas.openxmlformats.org/officeDocument/2006/relationships/numbering" Target="numbering.xml"/><Relationship Id="rId86" Type="http://schemas.openxmlformats.org/officeDocument/2006/relationships/customXml" Target="../customXml/item1.xml"/><Relationship Id="rId85" Type="http://schemas.openxmlformats.org/officeDocument/2006/relationships/image" Target="media/image53.wmf"/><Relationship Id="rId84" Type="http://schemas.openxmlformats.org/officeDocument/2006/relationships/oleObject" Target="embeddings/oleObject12.bin"/><Relationship Id="rId83" Type="http://schemas.openxmlformats.org/officeDocument/2006/relationships/image" Target="media/image52.wmf"/><Relationship Id="rId82" Type="http://schemas.openxmlformats.org/officeDocument/2006/relationships/oleObject" Target="embeddings/oleObject11.bin"/><Relationship Id="rId81" Type="http://schemas.openxmlformats.org/officeDocument/2006/relationships/image" Target="media/image51.png"/><Relationship Id="rId80" Type="http://schemas.openxmlformats.org/officeDocument/2006/relationships/image" Target="media/image50.png"/><Relationship Id="rId8" Type="http://schemas.openxmlformats.org/officeDocument/2006/relationships/footer" Target="footer6.xml"/><Relationship Id="rId79" Type="http://schemas.openxmlformats.org/officeDocument/2006/relationships/image" Target="media/image49.wmf"/><Relationship Id="rId78" Type="http://schemas.openxmlformats.org/officeDocument/2006/relationships/oleObject" Target="embeddings/oleObject10.bin"/><Relationship Id="rId77" Type="http://schemas.openxmlformats.org/officeDocument/2006/relationships/image" Target="media/image48.wmf"/><Relationship Id="rId76" Type="http://schemas.openxmlformats.org/officeDocument/2006/relationships/oleObject" Target="embeddings/oleObject9.bin"/><Relationship Id="rId75" Type="http://schemas.openxmlformats.org/officeDocument/2006/relationships/image" Target="media/image47.wmf"/><Relationship Id="rId74" Type="http://schemas.openxmlformats.org/officeDocument/2006/relationships/oleObject" Target="embeddings/oleObject8.bin"/><Relationship Id="rId73" Type="http://schemas.openxmlformats.org/officeDocument/2006/relationships/image" Target="media/image46.png"/><Relationship Id="rId72" Type="http://schemas.openxmlformats.org/officeDocument/2006/relationships/image" Target="media/image45.jpe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footer" Target="footer5.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footer" Target="footer4.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jpeg"/><Relationship Id="rId54" Type="http://schemas.openxmlformats.org/officeDocument/2006/relationships/image" Target="media/image27.jpeg"/><Relationship Id="rId53" Type="http://schemas.openxmlformats.org/officeDocument/2006/relationships/image" Target="media/image26.jpeg"/><Relationship Id="rId52" Type="http://schemas.openxmlformats.org/officeDocument/2006/relationships/image" Target="media/image25.jpeg"/><Relationship Id="rId51" Type="http://schemas.openxmlformats.org/officeDocument/2006/relationships/image" Target="media/image24.jpeg"/><Relationship Id="rId50" Type="http://schemas.openxmlformats.org/officeDocument/2006/relationships/image" Target="media/image23.png"/><Relationship Id="rId5" Type="http://schemas.openxmlformats.org/officeDocument/2006/relationships/footer" Target="footer3.xml"/><Relationship Id="rId49" Type="http://schemas.openxmlformats.org/officeDocument/2006/relationships/image" Target="media/image22.png"/><Relationship Id="rId48" Type="http://schemas.openxmlformats.org/officeDocument/2006/relationships/image" Target="media/image21.jpe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jpe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wmf"/><Relationship Id="rId40" Type="http://schemas.openxmlformats.org/officeDocument/2006/relationships/oleObject" Target="embeddings/oleObject7.bin"/><Relationship Id="rId4" Type="http://schemas.openxmlformats.org/officeDocument/2006/relationships/footer" Target="footer2.xml"/><Relationship Id="rId39" Type="http://schemas.openxmlformats.org/officeDocument/2006/relationships/image" Target="media/image13.wmf"/><Relationship Id="rId38" Type="http://schemas.openxmlformats.org/officeDocument/2006/relationships/oleObject" Target="embeddings/oleObject6.bin"/><Relationship Id="rId37" Type="http://schemas.openxmlformats.org/officeDocument/2006/relationships/image" Target="media/image12.wmf"/><Relationship Id="rId36" Type="http://schemas.openxmlformats.org/officeDocument/2006/relationships/oleObject" Target="embeddings/oleObject5.bin"/><Relationship Id="rId35" Type="http://schemas.openxmlformats.org/officeDocument/2006/relationships/image" Target="media/image11.wmf"/><Relationship Id="rId34" Type="http://schemas.openxmlformats.org/officeDocument/2006/relationships/oleObject" Target="embeddings/oleObject4.bin"/><Relationship Id="rId33" Type="http://schemas.openxmlformats.org/officeDocument/2006/relationships/image" Target="media/image10.wmf"/><Relationship Id="rId32" Type="http://schemas.openxmlformats.org/officeDocument/2006/relationships/oleObject" Target="embeddings/oleObject3.bin"/><Relationship Id="rId31" Type="http://schemas.openxmlformats.org/officeDocument/2006/relationships/image" Target="media/image9.wmf"/><Relationship Id="rId30" Type="http://schemas.openxmlformats.org/officeDocument/2006/relationships/oleObject" Target="embeddings/oleObject2.bin"/><Relationship Id="rId3" Type="http://schemas.openxmlformats.org/officeDocument/2006/relationships/footer" Target="footer1.xml"/><Relationship Id="rId29" Type="http://schemas.openxmlformats.org/officeDocument/2006/relationships/image" Target="media/image8.png"/><Relationship Id="rId28" Type="http://schemas.openxmlformats.org/officeDocument/2006/relationships/image" Target="media/image7.wmf"/><Relationship Id="rId27" Type="http://schemas.openxmlformats.org/officeDocument/2006/relationships/oleObject" Target="embeddings/oleObject1.bin"/><Relationship Id="rId26" Type="http://schemas.openxmlformats.org/officeDocument/2006/relationships/image" Target="media/image6.png"/><Relationship Id="rId25" Type="http://schemas.openxmlformats.org/officeDocument/2006/relationships/image" Target="media/image5.png"/><Relationship Id="rId24" Type="http://schemas.openxmlformats.org/officeDocument/2006/relationships/image" Target="media/image4.png"/><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3aa12e7e-8c10-4a0e-8f6f-69bac6a6a587</errorID>
      <errorWord>262</errorWord>
      <group>L1_Word</group>
      <groupName>字词问题</groupName>
      <ability>L2_Typo</ability>
      <abilityName>字词错误</abilityName>
      <candidateList>
        <item>2624</item>
      </candidateList>
      <explain/>
      <paraID>2182306A</paraID>
      <start>29</start>
      <end>32</end>
      <status>unmodified</status>
      <modifiedWord/>
      <trackRevisions>false</trackRevisions>
    </reviewItem>
    <reviewItem>
      <errorID>b3b6fbaa-c465-4137-b46b-8a6aecc68d97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5F5C5593</paraID>
      <start>8</start>
      <end>9</end>
      <status>unmodified</status>
      <modifiedWord/>
      <trackRevisions>false</trackRevisions>
    </reviewItem>
    <reviewItem>
      <errorID>1a26b61a-185f-45f1-b750-d95d2c3a7459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7DD4B51A</paraID>
      <start>0</start>
      <end>2</end>
      <status>unmodified</status>
      <modifiedWord/>
      <trackRevisions>false</trackRevisions>
    </reviewItem>
    <reviewItem>
      <errorID>13e6cce1-e191-4bce-b941-6a7491492b24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12D14B60</paraID>
      <start>62</start>
      <end>65</end>
      <status>unmodified</status>
      <modifiedWord/>
      <trackRevisions>false</trackRevisions>
    </reviewItem>
    <reviewItem>
      <errorID>184b7b7c-a631-4a60-8f78-dadd6e2a5cc9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2C2B9E0D</paraID>
      <start>0</start>
      <end>2</end>
      <status>unmodified</status>
      <modifiedWord/>
      <trackRevisions>false</trackRevisions>
    </reviewItem>
    <reviewItem>
      <errorID>45942f97-4580-4cc4-bbcb-2c8aa1a10be5</errorID>
      <errorWord>生态红线</errorWord>
      <group>L1_Political</group>
      <groupName>政治性问题</groupName>
      <ability>L2_Unpolitical</ability>
      <abilityName>政治敏感错误</abilityName>
      <candidateList>
        <item>生态保护红线</item>
      </candidateList>
      <explain/>
      <paraID>218AB9BC</paraID>
      <start>67</start>
      <end>71</end>
      <status>unmodified</status>
      <modifiedWord/>
      <trackRevisions>false</trackRevisions>
    </reviewItem>
    <reviewItem>
      <errorID>2ee0aa4c-8ee7-4b7d-a3c0-56410f942def</errorID>
      <errorWord>密</errorWord>
      <group>L1_Word</group>
      <groupName>字词问题</groupName>
      <ability>L2_Typo</ability>
      <abilityName>字词错误</abilityName>
      <candidateList>
        <item>窑</item>
      </candidateList>
      <explain/>
      <paraID>3438476D</paraID>
      <start>63</start>
      <end>64</end>
      <status>unmodified</status>
      <modifiedWord/>
      <trackRevisions>false</trackRevisions>
    </reviewItem>
    <reviewItem>
      <errorID>928c4d03-a43c-42d9-b00f-35863b9cb439</errorID>
      <errorWord>;</errorWord>
      <group>L1_Format</group>
      <groupName>格式问题</groupName>
      <ability>L2_HalfPunc_CN</ability>
      <abilityName>全半角问题</abilityName>
      <candidateList>
        <item>；</item>
      </candidateList>
      <explain>文本全半角错误。</explain>
      <paraID>7B96FC27</paraID>
      <start>27</start>
      <end>28</end>
      <status>unmodified</status>
      <modifiedWord/>
      <trackRevisions>false</trackRevisions>
    </reviewItem>
    <reviewItem>
      <errorID>59b77dc1-22e0-4f63-ba1d-924da3e3782a</errorID>
      <errorWord>小</errorWord>
      <group>L1_Word</group>
      <groupName>字词问题</groupName>
      <ability>L2_Typo</ability>
      <abilityName>字词错误</abilityName>
      <candidateList>
        <item>少</item>
      </candidateList>
      <explain/>
      <paraID>1DF3AE9E</paraID>
      <start>53</start>
      <end>54</end>
      <status>unmodified</status>
      <modifiedWord/>
      <trackRevisions>false</trackRevisions>
    </reviewItem>
    <reviewItem>
      <errorID>81bd5552-32bf-4549-bb7b-679147aee3fc</errorID>
      <errorWord>加强</errorWord>
      <group>L1_Punc</group>
      <groupName>标点问题</groupName>
      <ability>L2_Punc_CN</ability>
      <abilityName>标点符号问题</abilityName>
      <candidateList>
        <item>，加强</item>
      </candidateList>
      <explain/>
      <paraID>159CA900</paraID>
      <start>100</start>
      <end>102</end>
      <status>unmodified</status>
      <modifiedWord/>
      <trackRevisions>false</trackRevisions>
    </reviewItem>
    <reviewItem>
      <errorID>7eeb3015-2b28-479f-96d5-d36145520f3f</errorID>
      <errorWord>;</errorWord>
      <group>L1_Format</group>
      <groupName>格式问题</groupName>
      <ability>L2_HalfPunc_CN</ability>
      <abilityName>全半角问题</abilityName>
      <candidateList>
        <item>；</item>
      </candidateList>
      <explain>文本全半角错误。</explain>
      <paraID>3827785B</paraID>
      <start>49</start>
      <end>50</end>
      <status>unmodified</status>
      <modifiedWord/>
      <trackRevisions>false</trackRevisions>
    </reviewItem>
    <reviewItem>
      <errorID>dec5b280-e023-4503-bf5b-142a2dcb7a20</errorID>
      <errorWord>小</errorWord>
      <group>L1_Word</group>
      <groupName>字词问题</groupName>
      <ability>L2_Typo</ability>
      <abilityName>字词错误</abilityName>
      <candidateList>
        <item>少</item>
      </candidateList>
      <explain/>
      <paraID>7E41A2E3</paraID>
      <start>82</start>
      <end>83</end>
      <status>unmodified</status>
      <modifiedWord/>
      <trackRevisions>false</trackRevisions>
    </reviewItem>
    <reviewItem>
      <errorID>286a76a1-224e-47f0-8af2-99ac5d417195</errorID>
      <errorWord>(</errorWord>
      <group>L1_Format</group>
      <groupName>格式问题</groupName>
      <ability>L2_HalfPunc_CN</ability>
      <abilityName>全半角问题</abilityName>
      <candidateList>
        <item>（</item>
      </candidateList>
      <explain>文本全半角错误。</explain>
      <paraID>2593C864</paraID>
      <start>14</start>
      <end>15</end>
      <status>unmodified</status>
      <modifiedWord/>
      <trackRevisions>false</trackRevisions>
    </reviewItem>
    <reviewItem>
      <errorID>46279452-0eec-42d7-b3a7-f7d66464d614</errorID>
      <errorWord>)</errorWord>
      <group>L1_Format</group>
      <groupName>格式问题</groupName>
      <ability>L2_HalfPunc_CN</ability>
      <abilityName>全半角问题</abilityName>
      <candidateList>
        <item>）</item>
      </candidateList>
      <explain>文本全半角错误。</explain>
      <paraID>2593C864</paraID>
      <start>30</start>
      <end>31</end>
      <status>unmodified</status>
      <modifiedWord/>
      <trackRevisions>false</trackRevisions>
    </reviewItem>
    <reviewItem>
      <errorID>d98b7f6f-b4f7-4128-8a27-c632b4d82f40</errorID>
      <errorWord>能力</errorWord>
      <group>L1_Word</group>
      <groupName>字词问题</groupName>
      <ability>L2_Typo</ability>
      <abilityName>字词错误</abilityName>
      <candidateList>
        <item>演练</item>
      </candidateList>
      <explain/>
      <paraID>731762F9</paraID>
      <start>30</start>
      <end>32</end>
      <status>unmodified</status>
      <modifiedWord/>
      <trackRevisions>false</trackRevisions>
    </reviewItem>
    <reviewItem>
      <errorID>c9c29b46-23d3-44ab-a565-7473b5a157ab</errorID>
      <errorWord>;</errorWord>
      <group>L1_Format</group>
      <groupName>格式问题</groupName>
      <ability>L2_HalfPunc_CN</ability>
      <abilityName>全半角问题</abilityName>
      <candidateList>
        <item>；</item>
      </candidateList>
      <explain>文本全半角错误。</explain>
      <paraID>731762F9</paraID>
      <start>100</start>
      <end>101</end>
      <status>unmodified</status>
      <modifiedWord/>
      <trackRevisions>false</trackRevisions>
    </reviewItem>
    <reviewItem>
      <errorID>9f8e61b8-45c3-44a6-a03b-cc2948d5916e</errorID>
      <errorWord>;</errorWord>
      <group>L1_Format</group>
      <groupName>格式问题</groupName>
      <ability>L2_HalfPunc_CN</ability>
      <abilityName>全半角问题</abilityName>
      <candidateList>
        <item>；</item>
      </candidateList>
      <explain>文本全半角错误。</explain>
      <paraID>731762F9</paraID>
      <start>167</start>
      <end>168</end>
      <status>unmodified</status>
      <modifiedWord/>
      <trackRevisions>false</trackRevisions>
    </reviewItem>
    <reviewItem>
      <errorID>edac2930-bfae-4174-8847-44e93550c982</errorID>
      <errorWord>(</errorWord>
      <group>L1_Format</group>
      <groupName>格式问题</groupName>
      <ability>L2_HalfPunc_CN</ability>
      <abilityName>全半角问题</abilityName>
      <candidateList>
        <item>（</item>
      </candidateList>
      <explain>文本全半角错误。</explain>
      <paraID>3B3C94C6</paraID>
      <start>24</start>
      <end>25</end>
      <status>unmodified</status>
      <modifiedWord/>
      <trackRevisions>false</trackRevisions>
    </reviewItem>
    <reviewItem>
      <errorID>1121155e-8fc6-4b7a-925f-bb35f1dc9369</errorID>
      <errorWord>)</errorWord>
      <group>L1_Format</group>
      <groupName>格式问题</groupName>
      <ability>L2_HalfPunc_CN</ability>
      <abilityName>全半角问题</abilityName>
      <candidateList>
        <item>）</item>
      </candidateList>
      <explain>文本全半角错误。</explain>
      <paraID>3B3C94C6</paraID>
      <start>40</start>
      <end>41</end>
      <status>unmodified</status>
      <modifiedWord/>
      <trackRevisions>false</trackRevisions>
    </reviewItem>
    <reviewItem>
      <errorID>850ef6c8-cd6f-4013-89dc-56e7cdd08c61</errorID>
      <errorWord>(</errorWord>
      <group>L1_Format</group>
      <groupName>格式问题</groupName>
      <ability>L2_HalfPunc_CN</ability>
      <abilityName>全半角问题</abilityName>
      <candidateList>
        <item>（</item>
      </candidateList>
      <explain>文本全半角错误。</explain>
      <paraID>3B3C94C6</paraID>
      <start>89</start>
      <end>90</end>
      <status>unmodified</status>
      <modifiedWord/>
      <trackRevisions>false</trackRevisions>
    </reviewItem>
    <reviewItem>
      <errorID>3423ec15-768d-427d-8f8c-d7feb6ab85f4</errorID>
      <errorWord>)</errorWord>
      <group>L1_Format</group>
      <groupName>格式问题</groupName>
      <ability>L2_HalfPunc_CN</ability>
      <abilityName>全半角问题</abilityName>
      <candidateList>
        <item>）</item>
      </candidateList>
      <explain>文本全半角错误。</explain>
      <paraID>3B3C94C6</paraID>
      <start>92</start>
      <end>93</end>
      <status>unmodified</status>
      <modifiedWord/>
      <trackRevisions>false</trackRevisions>
    </reviewItem>
    <reviewItem>
      <errorID>348d1d20-1c56-422b-ae6d-a6cca3d789cd</errorID>
      <errorWord>区域</errorWord>
      <group>L1_Punc</group>
      <groupName>标点问题</groupName>
      <ability>L2_Punc_CN</ability>
      <abilityName>标点符号问题</abilityName>
      <candidateList>
        <item>，区域</item>
      </candidateList>
      <explain/>
      <paraID>701947A8</paraID>
      <start>117</start>
      <end>120</end>
      <status>modified</status>
      <modifiedWord>，区域</modifiedWord>
      <trackRevisions>false</trackRevisions>
    </reviewItem>
    <reviewItem>
      <errorID>705f85a2-a6f8-4e9a-a398-6eff063377c2</errorID>
      <errorWord>排查</errorWord>
      <group>L1_Punc</group>
      <groupName>标点问题</groupName>
      <ability>L2_Punc_CN</ability>
      <abilityName>标点符号问题</abilityName>
      <candidateList>
        <item>，排查</item>
      </candidateList>
      <explain/>
      <paraID>18A2B9B0</paraID>
      <start>81</start>
      <end>83</end>
      <status>unmodified</status>
      <modifiedWord/>
      <trackRevisions>false</trackRevisions>
    </reviewItem>
    <reviewItem>
      <errorID>7427843a-2ea6-43c3-aeaf-b3f8ba26a47f</errorID>
      <errorWord>上线</errorWord>
      <group>L1_Word</group>
      <groupName>字词问题</groupName>
      <ability>L2_Typo</ability>
      <abilityName>字词错误</abilityName>
      <candidateList>
        <item>上限</item>
      </candidateList>
      <explain/>
      <paraID>1EDDF31E</paraID>
      <start>18</start>
      <end>20</end>
      <status>unmodified</status>
      <modifiedWord/>
      <trackRevisions>false</trackRevisions>
    </reviewItem>
    <reviewItem>
      <errorID>a705bf91-8ba6-45d7-8caa-0f138e12d3f3</errorID>
      <errorWord>(</errorWord>
      <group>L1_Format</group>
      <groupName>格式问题</groupName>
      <ability>L2_HalfPunc_CN</ability>
      <abilityName>全半角问题</abilityName>
      <candidateList>
        <item>（</item>
      </candidateList>
      <explain>文本全半角错误。</explain>
      <paraID>735DA4F2</paraID>
      <start>38</start>
      <end>39</end>
      <status>unmodified</status>
      <modifiedWord/>
      <trackRevisions>false</trackRevisions>
    </reviewItem>
    <reviewItem>
      <errorID>5b207c3d-9be7-4155-9498-ae63a66733b6</errorID>
      <errorWord>)</errorWord>
      <group>L1_Format</group>
      <groupName>格式问题</groupName>
      <ability>L2_HalfPunc_CN</ability>
      <abilityName>全半角问题</abilityName>
      <candidateList>
        <item>）</item>
      </candidateList>
      <explain>文本全半角错误。</explain>
      <paraID>735DA4F2</paraID>
      <start>42</start>
      <end>43</end>
      <status>unmodified</status>
      <modifiedWord/>
      <trackRevisions>false</trackRevisions>
    </reviewItem>
    <reviewItem>
      <errorID>751f0663-5bb3-414a-806a-8bde4fa3454f</errorID>
      <errorWord>建设</errorWord>
      <group>L1_Word</group>
      <groupName>字词问题</groupName>
      <ability>L2_Typo</ability>
      <abilityName>字词错误</abilityName>
      <candidateList>
        <item>进行</item>
      </candidateList>
      <explain/>
      <paraID>1F4DE557</paraID>
      <start>61</start>
      <end>63</end>
      <status>unmodified</status>
      <modifiedWord/>
      <trackRevisions>false</trackRevisions>
    </reviewItem>
    <reviewItem>
      <errorID>43e0f2ca-9313-469c-a2f2-b9f2092218cc</errorID>
      <errorWord>水质监测并进行</errorWord>
      <group>L1_Grammar</group>
      <groupName>语法问题</groupName>
      <ability>L2_Grammar</ability>
      <abilityName>语法错误</abilityName>
      <candidateList>
        <item>水质</item>
      </candidateList>
      <explain/>
      <paraID>1F4DE557</paraID>
      <start>66</start>
      <end>73</end>
      <status>unmodified</status>
      <modifiedWord/>
      <trackRevisions>false</trackRevisions>
    </reviewItem>
    <reviewItem>
      <errorID>8b8a51a6-d5df-4d4c-9594-ec9d9b246b57</errorID>
      <errorWord>依法</errorWord>
      <group>L1_Punc</group>
      <groupName>标点问题</groupName>
      <ability>L2_Punc_CN</ability>
      <abilityName>标点符号问题</abilityName>
      <candidateList>
        <item>，依法</item>
      </candidateList>
      <explain/>
      <paraID>1CA41730</paraID>
      <start>50</start>
      <end>52</end>
      <status>unmodified</status>
      <modifiedWord/>
      <trackRevisions>false</trackRevisions>
    </reviewItem>
    <reviewItem>
      <errorID>0fa9cb15-a6d5-4b16-af6c-0525b2110696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51367BC9</paraID>
      <start>89</start>
      <end>90</end>
      <status>unmodified</status>
      <modifiedWord/>
      <trackRevisions>false</trackRevisions>
    </reviewItem>
    <reviewItem>
      <errorID>ffdb37f5-b9e0-4250-9b56-9bdbc8adc43d</errorID>
      <errorWord>)</errorWord>
      <group>L1_Format</group>
      <groupName>格式问题</groupName>
      <ability>L2_HalfPunc_CN</ability>
      <abilityName>全半角问题</abilityName>
      <candidateList>
        <item>）</item>
      </candidateList>
      <explain>文本全半角错误。</explain>
      <paraID>51367BC9</paraID>
      <start>91</start>
      <end>92</end>
      <status>unmodified</status>
      <modifiedWord/>
      <trackRevisions>false</trackRevisions>
    </reviewItem>
    <reviewItem>
      <errorID>8dfb5be4-b765-46ec-beb2-b146467da6f2</errorID>
      <errorWord>)</errorWord>
      <group>L1_Format</group>
      <groupName>格式问题</groupName>
      <ability>L2_HalfPunc_CN</ability>
      <abilityName>全半角问题</abilityName>
      <candidateList>
        <item>）</item>
      </candidateList>
      <explain>文本全半角错误。</explain>
      <paraID>51367BC9</paraID>
      <start>112</start>
      <end>113</end>
      <status>unmodified</status>
      <modifiedWord/>
      <trackRevisions>false</trackRevisions>
    </reviewItem>
    <reviewItem>
      <errorID>42a9460a-6372-4a23-bd2a-568da16acb3f</errorID>
      <errorWord>)</errorWord>
      <group>L1_Format</group>
      <groupName>格式问题</groupName>
      <ability>L2_HalfPunc_CN</ability>
      <abilityName>全半角问题</abilityName>
      <candidateList>
        <item>）</item>
      </candidateList>
      <explain>文本全半角错误。</explain>
      <paraID>51367BC9</paraID>
      <start>139</start>
      <end>140</end>
      <status>unmodified</status>
      <modifiedWord/>
      <trackRevisions>false</trackRevisions>
    </reviewItem>
    <reviewItem>
      <errorID>e81a1aca-7243-4624-b606-666c1014399d</errorID>
      <errorWord>“</errorWord>
      <group>L1_Punc</group>
      <groupName>标点问题</groupName>
      <ability>L2_Punc_CN</ability>
      <abilityName>标点符号问题</abilityName>
      <candidateList>
        <item>：</item>
      </candidateList>
      <explain/>
      <paraID>51367BC9</paraID>
      <start>193</start>
      <end>194</end>
      <status>unmodified</status>
      <modifiedWord/>
      <trackRevisions>false</trackRevisions>
    </reviewItem>
    <reviewItem>
      <errorID>a2a2e9b3-39e8-4c50-b78d-232d04f22e3c</errorID>
      <errorWord>)</errorWord>
      <group>L1_Format</group>
      <groupName>格式问题</groupName>
      <ability>L2_HalfPunc_CN</ability>
      <abilityName>全半角问题</abilityName>
      <candidateList>
        <item>）</item>
      </candidateList>
      <explain>文本全半角错误。</explain>
      <paraID>51367BC9</paraID>
      <start>195</start>
      <end>196</end>
      <status>unmodified</status>
      <modifiedWord/>
      <trackRevisions>false</trackRevisions>
    </reviewItem>
    <reviewItem>
      <errorID>acf30193-27ab-46a8-8ce0-6f68928f43f3</errorID>
      <errorWord>)</errorWord>
      <group>L1_Format</group>
      <groupName>格式问题</groupName>
      <ability>L2_HalfPunc_CN</ability>
      <abilityName>全半角问题</abilityName>
      <candidateList>
        <item>）</item>
      </candidateList>
      <explain>文本全半角错误。</explain>
      <paraID>51367BC9</paraID>
      <start>234</start>
      <end>235</end>
      <status>unmodified</status>
      <modifiedWord/>
      <trackRevisions>false</trackRevisions>
    </reviewItem>
    <reviewItem>
      <errorID>b719eb91-939d-43a7-9007-a082b8ca31b7</errorID>
      <errorWord>。</errorWord>
      <group>L1_Punc</group>
      <groupName>标点问题</groupName>
      <ability>L2_Punc_CN</ability>
      <abilityName>标点符号问题</abilityName>
      <candidateList>
        <item>。”</item>
      </candidateList>
      <explain/>
      <paraID>51367BC9</paraID>
      <start>295</start>
      <end>296</end>
      <status>unmodified</status>
      <modifiedWord/>
      <trackRevisions>false</trackRevisions>
    </reviewItem>
    <reviewItem>
      <errorID>07377b68-12fd-4c02-9177-31c6ef2bf43c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51367BC9</paraID>
      <start>303</start>
      <end>304</end>
      <status>unmodified</status>
      <modifiedWord/>
      <trackRevisions>false</trackRevisions>
    </reviewItem>
    <reviewItem>
      <errorID>b7acf8fa-e3c8-418c-aed0-4f0c2b9ac731</errorID>
      <errorWord>)</errorWord>
      <group>L1_Format</group>
      <groupName>格式问题</groupName>
      <ability>L2_HalfPunc_CN</ability>
      <abilityName>全半角问题</abilityName>
      <candidateList>
        <item>）</item>
      </candidateList>
      <explain>文本全半角错误。</explain>
      <paraID>51367BC9</paraID>
      <start>305</start>
      <end>306</end>
      <status>unmodified</status>
      <modifiedWord/>
      <trackRevisions>false</trackRevisions>
    </reviewItem>
    <reviewItem>
      <errorID>a68c131d-d47f-42a0-a264-090d65253fd3</errorID>
      <errorWord>:</errorWord>
      <group>L1_Punc</group>
      <groupName>标点问题</groupName>
      <ability>L2_Punc_CN</ability>
      <abilityName>标点符号问题</abilityName>
      <candidateList>
        <item>。</item>
      </candidateList>
      <explain/>
      <paraID>51367BC9</paraID>
      <start>358</start>
      <end>359</end>
      <status>unmodified</status>
      <modifiedWord/>
      <trackRevisions>false</trackRevisions>
    </reviewItem>
    <reviewItem>
      <errorID>314f622d-016f-4847-bff9-d239fcbdf720</errorID>
      <errorWord>)</errorWord>
      <group>L1_Format</group>
      <groupName>格式问题</groupName>
      <ability>L2_HalfPunc_CN</ability>
      <abilityName>全半角问题</abilityName>
      <candidateList>
        <item>）</item>
      </candidateList>
      <explain>文本全半角错误。</explain>
      <paraID>51367BC9</paraID>
      <start>400</start>
      <end>401</end>
      <status>unmodified</status>
      <modifiedWord/>
      <trackRevisions>false</trackRevisions>
    </reviewItem>
    <reviewItem>
      <errorID>f62a343e-0f8a-4d58-9e37-38b1d44d52a2</errorID>
      <errorWord>产业园蔓区</errorWord>
      <group>L1_Other</group>
      <groupName>其他问题</groupName>
      <ability>L2_Consistency</ability>
      <abilityName>一致性检查</abilityName>
      <candidateList>
        <item>产业园区</item>
      </candidateList>
      <explain>实体一致性，此处拼写错误，与上下文产业园区表述不一致</explain>
      <paraID>51367BC9</paraID>
      <start>445</start>
      <end>450</end>
      <status>unmodified</status>
      <modifiedWord/>
      <trackRevisions>false</trackRevisions>
    </reviewItem>
    <reviewItem>
      <errorID>c65a609b-9913-4b63-84af-99bcf828ebf0</errorID>
      <errorWord>)</errorWord>
      <group>L1_Format</group>
      <groupName>格式问题</groupName>
      <ability>L2_HalfPunc_CN</ability>
      <abilityName>全半角问题</abilityName>
      <candidateList>
        <item>）</item>
      </candidateList>
      <explain>文本全半角错误。</explain>
      <paraID>51367BC9</paraID>
      <start>508</start>
      <end>509</end>
      <status>unmodified</status>
      <modifiedWord/>
      <trackRevisions>false</trackRevisions>
    </reviewItem>
    <reviewItem>
      <errorID>7c1aeb6d-f32d-4c9a-bc64-4d09be2659c7</errorID>
      <errorWord>加擱槛工业</errorWord>
      <group>L1_Word</group>
      <groupName>字词问题</groupName>
      <ability>L2_Typo</ability>
      <abilityName>字词错误</abilityName>
      <candidateList>
        <item>加工工业</item>
      </candidateList>
      <explain/>
      <paraID>51367BC9</paraID>
      <start>529</start>
      <end>534</end>
      <status>unmodified</status>
      <modifiedWord/>
      <trackRevisions>false</trackRevisions>
    </reviewItem>
    <reviewItem>
      <errorID>3dedf3d0-e09f-4ce6-9a75-07f4ce90ec06</errorID>
      <errorWord>)</errorWord>
      <group>L1_Format</group>
      <groupName>格式问题</groupName>
      <ability>L2_HalfPunc_CN</ability>
      <abilityName>全半角问题</abilityName>
      <candidateList>
        <item>）</item>
      </candidateList>
      <explain>文本全半角错误。</explain>
      <paraID>51367BC9</paraID>
      <start>550</start>
      <end>551</end>
      <status>unmodified</status>
      <modifiedWord/>
      <trackRevisions>false</trackRevisions>
    </reviewItem>
    <reviewItem>
      <errorID>b858d256-9868-437b-a365-97db95651c8d</errorID>
      <errorWord>)</errorWord>
      <group>L1_Format</group>
      <groupName>格式问题</groupName>
      <ability>L2_HalfPunc_CN</ability>
      <abilityName>全半角问题</abilityName>
      <candidateList>
        <item>）</item>
      </candidateList>
      <explain>文本全半角错误。</explain>
      <paraID>51367BC9</paraID>
      <start>596</start>
      <end>597</end>
      <status>unmodified</status>
      <modifiedWord/>
      <trackRevisions>false</trackRevisions>
    </reviewItem>
    <reviewItem>
      <errorID>84c31d53-b4f6-4992-95f1-38a267086a33</errorID>
      <errorWord>)</errorWord>
      <group>L1_Format</group>
      <groupName>格式问题</groupName>
      <ability>L2_HalfPunc_CN</ability>
      <abilityName>全半角问题</abilityName>
      <candidateList>
        <item>）</item>
      </candidateList>
      <explain>文本全半角错误。</explain>
      <paraID>51367BC9</paraID>
      <start>631</start>
      <end>632</end>
      <status>unmodified</status>
      <modifiedWord/>
      <trackRevisions>false</trackRevisions>
    </reviewItem>
    <reviewItem>
      <errorID>161d2759-aea2-4b8d-b5ef-fa8d33310086</errorID>
      <errorWord>)</errorWord>
      <group>L1_Format</group>
      <groupName>格式问题</groupName>
      <ability>L2_HalfPunc_CN</ability>
      <abilityName>全半角问题</abilityName>
      <candidateList>
        <item>）</item>
      </candidateList>
      <explain>文本全半角错误。</explain>
      <paraID>51367BC9</paraID>
      <start>656</start>
      <end>657</end>
      <status>unmodified</status>
      <modifiedWord/>
      <trackRevisions>false</trackRevisions>
    </reviewItem>
    <reviewItem>
      <errorID>a6692424-cac7-465a-9fc0-ad8c079c93e8</errorID>
      <errorWord>)</errorWord>
      <group>L1_Format</group>
      <groupName>格式问题</groupName>
      <ability>L2_HalfPunc_CN</ability>
      <abilityName>全半角问题</abilityName>
      <candidateList>
        <item>）</item>
      </candidateList>
      <explain>文本全半角错误。</explain>
      <paraID>51367BC9</paraID>
      <start>729</start>
      <end>730</end>
      <status>unmodified</status>
      <modifiedWord/>
      <trackRevisions>false</trackRevisions>
    </reviewItem>
    <reviewItem>
      <errorID>3c06d1ad-dcf0-4955-9885-d9059d1d1b68</errorID>
      <errorWord>)</errorWord>
      <group>L1_Format</group>
      <groupName>格式问题</groupName>
      <ability>L2_HalfPunc_CN</ability>
      <abilityName>全半角问题</abilityName>
      <candidateList>
        <item>）</item>
      </candidateList>
      <explain>文本全半角错误。</explain>
      <paraID>51367BC9</paraID>
      <start>771</start>
      <end>772</end>
      <status>unmodified</status>
      <modifiedWord/>
      <trackRevisions>false</trackRevisions>
    </reviewItem>
    <reviewItem>
      <errorID>cf867532-120f-455c-a689-d4f2b6a43856</errorID>
      <errorWord>;</errorWord>
      <group>L1_Format</group>
      <groupName>格式问题</groupName>
      <ability>L2_HalfPunc_CN</ability>
      <abilityName>全半角问题</abilityName>
      <candidateList>
        <item>；</item>
      </candidateList>
      <explain>文本全半角错误。</explain>
      <paraID>369DCB18</paraID>
      <start>58</start>
      <end>59</end>
      <status>unmodified</status>
      <modifiedWord/>
      <trackRevisions>false</trackRevisions>
    </reviewItem>
    <reviewItem>
      <errorID>a2081e5c-2f0f-4f04-aebe-7d5919af4c51</errorID>
      <errorWord>(</errorWord>
      <group>L1_Format</group>
      <groupName>格式问题</groupName>
      <ability>L2_HalfPunc_CN</ability>
      <abilityName>全半角问题</abilityName>
      <candidateList>
        <item>（</item>
      </candidateList>
      <explain>文本全半角错误。</explain>
      <paraID>369DCB18</paraID>
      <start>155</start>
      <end>156</end>
      <status>unmodified</status>
      <modifiedWord/>
      <trackRevisions>false</trackRevisions>
    </reviewItem>
    <reviewItem>
      <errorID>b3b1393a-6d2b-461f-8f02-ff2a1146f680</errorID>
      <errorWord>)</errorWord>
      <group>L1_Format</group>
      <groupName>格式问题</groupName>
      <ability>L2_HalfPunc_CN</ability>
      <abilityName>全半角问题</abilityName>
      <candidateList>
        <item>）</item>
      </candidateList>
      <explain>文本全半角错误。</explain>
      <paraID>369DCB18</paraID>
      <start>162</start>
      <end>163</end>
      <status>unmodified</status>
      <modifiedWord/>
      <trackRevisions>false</trackRevisions>
    </reviewItem>
    <reviewItem>
      <errorID>611029f9-19c3-4cd8-9244-1d99eab702a1</errorID>
      <errorWord>(</errorWord>
      <group>L1_Format</group>
      <groupName>格式问题</groupName>
      <ability>L2_HalfPunc_CN</ability>
      <abilityName>全半角问题</abilityName>
      <candidateList>
        <item>（</item>
      </candidateList>
      <explain>文本全半角错误。</explain>
      <paraID>369DCB18</paraID>
      <start>191</start>
      <end>192</end>
      <status>unmodified</status>
      <modifiedWord/>
      <trackRevisions>false</trackRevisions>
    </reviewItem>
    <reviewItem>
      <errorID>293d6b13-153e-45da-b908-ce3a46c5d010</errorID>
      <errorWord>)</errorWord>
      <group>L1_Format</group>
      <groupName>格式问题</groupName>
      <ability>L2_HalfPunc_CN</ability>
      <abilityName>全半角问题</abilityName>
      <candidateList>
        <item>）</item>
      </candidateList>
      <explain>文本全半角错误。</explain>
      <paraID>369DCB18</paraID>
      <start>207</start>
      <end>208</end>
      <status>unmodified</status>
      <modifiedWord/>
      <trackRevisions>false</trackRevisions>
    </reviewItem>
    <reviewItem>
      <errorID>c6d3b73b-2751-411b-b125-67049e722e30</errorID>
      <errorWord>(</errorWord>
      <group>L1_Format</group>
      <groupName>格式问题</groupName>
      <ability>L2_HalfPunc_CN</ability>
      <abilityName>全半角问题</abilityName>
      <candidateList>
        <item>（</item>
      </candidateList>
      <explain>文本全半角错误。</explain>
      <paraID>369DCB18</paraID>
      <start>247</start>
      <end>248</end>
      <status>unmodified</status>
      <modifiedWord/>
      <trackRevisions>false</trackRevisions>
    </reviewItem>
    <reviewItem>
      <errorID>edd9f604-b676-45c6-ab38-756af023d5aa</errorID>
      <errorWord>)</errorWord>
      <group>L1_Format</group>
      <groupName>格式问题</groupName>
      <ability>L2_HalfPunc_CN</ability>
      <abilityName>全半角问题</abilityName>
      <candidateList>
        <item>）</item>
      </candidateList>
      <explain>文本全半角错误。</explain>
      <paraID>369DCB18</paraID>
      <start>259</start>
      <end>260</end>
      <status>unmodified</status>
      <modifiedWord/>
      <trackRevisions>false</trackRevisions>
    </reviewItem>
    <reviewItem>
      <errorID>f43de771-3fcd-4c38-b6d0-59eecc1b07a8</errorID>
      <errorWord>:</errorWord>
      <group>L1_Format</group>
      <groupName>格式问题</groupName>
      <ability>L2_HalfPunc_CN</ability>
      <abilityName>全半角问题</abilityName>
      <candidateList>
        <item>：</item>
      </candidateList>
      <explain>文本全半角错误。</explain>
      <paraID>369DCB18</paraID>
      <start>285</start>
      <end>286</end>
      <status>unmodified</status>
      <modifiedWord/>
      <trackRevisions>false</trackRevisions>
    </reviewItem>
    <reviewItem>
      <errorID>c99034bc-a111-4e9d-a27f-02d6dc23c745</errorID>
      <errorWord>:</errorWord>
      <group>L1_Format</group>
      <groupName>格式问题</groupName>
      <ability>L2_HalfPunc_CN</ability>
      <abilityName>全半角问题</abilityName>
      <candidateList>
        <item>：</item>
      </candidateList>
      <explain>文本全半角错误。</explain>
      <paraID>369DCB18</paraID>
      <start>316</start>
      <end>317</end>
      <status>unmodified</status>
      <modifiedWord/>
      <trackRevisions>false</trackRevisions>
    </reviewItem>
    <reviewItem>
      <errorID>ffe52fc0-3ff4-4765-8894-e9d44bd46009</errorID>
      <errorWord>(</errorWord>
      <group>L1_Format</group>
      <groupName>格式问题</groupName>
      <ability>L2_HalfPunc_CN</ability>
      <abilityName>全半角问题</abilityName>
      <candidateList>
        <item>（</item>
      </candidateList>
      <explain>文本全半角错误。</explain>
      <paraID>369DCB18</paraID>
      <start>333</start>
      <end>334</end>
      <status>unmodified</status>
      <modifiedWord/>
      <trackRevisions>false</trackRevisions>
    </reviewItem>
    <reviewItem>
      <errorID>8095a214-0bd4-4e8f-b387-43fe8daa7e15</errorID>
      <errorWord>)</errorWord>
      <group>L1_Format</group>
      <groupName>格式问题</groupName>
      <ability>L2_HalfPunc_CN</ability>
      <abilityName>全半角问题</abilityName>
      <candidateList>
        <item>）</item>
      </candidateList>
      <explain>文本全半角错误。</explain>
      <paraID>369DCB18</paraID>
      <start>339</start>
      <end>340</end>
      <status>unmodified</status>
      <modifiedWord/>
      <trackRevisions>false</trackRevisions>
    </reviewItem>
    <reviewItem>
      <errorID>9138bb48-4e8d-478d-a938-4caff3fd8331</errorID>
      <errorWord>其它</errorWord>
      <group>L1_Word</group>
      <groupName>字词问题</groupName>
      <ability>L2_Alias</ability>
      <abilityName>也作/曾用词</abilityName>
      <candidateList>
        <item>其他</item>
      </candidateList>
      <explain>词汇[其它]为不规范表述或旧称，其规范书面表述为[其他]。</explain>
      <paraID>369DCB18</paraID>
      <start>375</start>
      <end>377</end>
      <status>unmodified</status>
      <modifiedWord/>
      <trackRevisions>false</trackRevisions>
    </reviewItem>
    <reviewItem>
      <errorID>8ad73979-c9c9-48a6-a02f-03cfda2140aa</errorID>
      <errorWord>(</errorWord>
      <group>L1_Format</group>
      <groupName>格式问题</groupName>
      <ability>L2_HalfPunc_CN</ability>
      <abilityName>全半角问题</abilityName>
      <candidateList>
        <item>（</item>
      </candidateList>
      <explain>文本全半角错误。</explain>
      <paraID>369DCB18</paraID>
      <start>419</start>
      <end>420</end>
      <status>unmodified</status>
      <modifiedWord/>
      <trackRevisions>false</trackRevisions>
    </reviewItem>
    <reviewItem>
      <errorID>6ae3c7c3-6450-4b88-92ee-6bc9bb4981cd</errorID>
      <errorWord>):</errorWord>
      <group>L1_Format</group>
      <groupName>格式问题</groupName>
      <ability>L2_HalfPunc_CN</ability>
      <abilityName>全半角问题</abilityName>
      <candidateList>
        <item>）：</item>
      </candidateList>
      <explain>文本全半角错误。</explain>
      <paraID>369DCB18</paraID>
      <start>422</start>
      <end>424</end>
      <status>unmodified</status>
      <modifiedWord/>
      <trackRevisions>false</trackRevisions>
    </reviewItem>
    <reviewItem>
      <errorID>cd31825d-b6ff-48a0-8d9a-b9dd1013ac56</errorID>
      <errorWord>)</errorWord>
      <group>L1_Format</group>
      <groupName>格式问题</groupName>
      <ability>L2_HalfPunc_CN</ability>
      <abilityName>全半角问题</abilityName>
      <candidateList>
        <item>）</item>
      </candidateList>
      <explain>文本全半角错误。</explain>
      <paraID>369DCB18</paraID>
      <start>462</start>
      <end>463</end>
      <status>unmodified</status>
      <modifiedWord/>
      <trackRevisions>false</trackRevisions>
    </reviewItem>
    <reviewItem>
      <errorID>194266f9-7021-493d-b825-52e76be10382</errorID>
      <errorWord>)</errorWord>
      <group>L1_Format</group>
      <groupName>格式问题</groupName>
      <ability>L2_HalfPunc_CN</ability>
      <abilityName>全半角问题</abilityName>
      <candidateList>
        <item>）</item>
      </candidateList>
      <explain>文本全半角错误。</explain>
      <paraID>369DCB18</paraID>
      <start>509</start>
      <end>510</end>
      <status>unmodified</status>
      <modifiedWord/>
      <trackRevisions>false</trackRevisions>
    </reviewItem>
    <reviewItem>
      <errorID>cb857ea9-ec59-4071-adc9-0c1f4e6e0399</errorID>
      <errorWord>)</errorWord>
      <group>L1_Format</group>
      <groupName>格式问题</groupName>
      <ability>L2_HalfPunc_CN</ability>
      <abilityName>全半角问题</abilityName>
      <candidateList>
        <item>）</item>
      </candidateList>
      <explain>文本全半角错误。</explain>
      <paraID>369DCB18</paraID>
      <start>617</start>
      <end>618</end>
      <status>unmodified</status>
      <modifiedWord/>
      <trackRevisions>false</trackRevisions>
    </reviewItem>
    <reviewItem>
      <errorID>79461784-5843-4050-9c2f-81cdad8dd86a</errorID>
      <errorWord>、石</errorWord>
      <group>L1_Word</group>
      <groupName>字词问题</groupName>
      <ability>L2_Typo</ability>
      <abilityName>字词错误</abilityName>
      <candidateList>
        <item>、</item>
      </candidateList>
      <explain/>
      <paraID>369DCB18</paraID>
      <start>621</start>
      <end>623</end>
      <status>unmodified</status>
      <modifiedWord/>
      <trackRevisions>false</trackRevisions>
    </reviewItem>
    <reviewItem>
      <errorID>2301f47f-31af-48b7-898f-31185e9c725d</errorID>
      <errorWord>)</errorWord>
      <group>L1_Format</group>
      <groupName>格式问题</groupName>
      <ability>L2_HalfPunc_CN</ability>
      <abilityName>全半角问题</abilityName>
      <candidateList>
        <item>）</item>
      </candidateList>
      <explain>文本全半角错误。</explain>
      <paraID>369DCB18</paraID>
      <start>672</start>
      <end>673</end>
      <status>unmodified</status>
      <modifiedWord/>
      <trackRevisions>false</trackRevisions>
    </reviewItem>
    <reviewItem>
      <errorID>d9b14125-923b-43cf-a053-4f76517b2c15</errorID>
      <errorWord>(</errorWord>
      <group>L1_Format</group>
      <groupName>格式问题</groupName>
      <ability>L2_HalfPunc_CN</ability>
      <abilityName>全半角问题</abilityName>
      <candidateList>
        <item>（</item>
      </candidateList>
      <explain>文本全半角错误。</explain>
      <paraID>369DCB18</paraID>
      <start>696</start>
      <end>697</end>
      <status>unmodified</status>
      <modifiedWord/>
      <trackRevisions>false</trackRevisions>
    </reviewItem>
    <reviewItem>
      <errorID>f2747175-2810-4707-b1a8-d91732468cc9</errorID>
      <errorWord>)</errorWord>
      <group>L1_Format</group>
      <groupName>格式问题</groupName>
      <ability>L2_HalfPunc_CN</ability>
      <abilityName>全半角问题</abilityName>
      <candidateList>
        <item>）</item>
      </candidateList>
      <explain>文本全半角错误。</explain>
      <paraID>369DCB18</paraID>
      <start>700</start>
      <end>701</end>
      <status>unmodified</status>
      <modifiedWord/>
      <trackRevisions>false</trackRevisions>
    </reviewItem>
    <reviewItem>
      <errorID>f95cf079-9111-49cc-aaf7-795891cc2c2b</errorID>
      <errorWord>”</errorWord>
      <group>L1_Punc</group>
      <groupName>标点问题</groupName>
      <ability>L2_Punc_CN</ability>
      <abilityName>标点符号问题</abilityName>
      <candidateList>
        <item>“</item>
      </candidateList>
      <explain>注意检查双引号的方向是否正确。</explain>
      <paraID>369DCB18</paraID>
      <start>721</start>
      <end>722</end>
      <status>unmodified</status>
      <modifiedWord/>
      <trackRevisions>false</trackRevisions>
    </reviewItem>
    <reviewItem>
      <errorID>d1f85b20-2cc8-40ca-ab92-be845560d64d</errorID>
      <errorWord>(</errorWord>
      <group>L1_Format</group>
      <groupName>格式问题</groupName>
      <ability>L2_HalfPunc_CN</ability>
      <abilityName>全半角问题</abilityName>
      <candidateList>
        <item>（</item>
      </candidateList>
      <explain>文本全半角错误。</explain>
      <paraID>369DCB18</paraID>
      <start>722</start>
      <end>723</end>
      <status>unmodified</status>
      <modifiedWord/>
      <trackRevisions>false</trackRevisions>
    </reviewItem>
    <reviewItem>
      <errorID>53ec71d8-0d14-4733-9e7d-e6d5908a0df6</errorID>
      <errorWord>)</errorWord>
      <group>L1_Format</group>
      <groupName>格式问题</groupName>
      <ability>L2_HalfPunc_CN</ability>
      <abilityName>全半角问题</abilityName>
      <candidateList>
        <item>）</item>
      </candidateList>
      <explain>文本全半角错误。</explain>
      <paraID>369DCB18</paraID>
      <start>726</start>
      <end>727</end>
      <status>unmodified</status>
      <modifiedWord/>
      <trackRevisions>false</trackRevisions>
    </reviewItem>
    <reviewItem>
      <errorID>dfa5ee83-f9ac-4bc8-8a15-16f47aa2ec41</errorID>
      <errorWord>:</errorWord>
      <group>L1_Format</group>
      <groupName>格式问题</groupName>
      <ability>L2_HalfPunc_CN</ability>
      <abilityName>全半角问题</abilityName>
      <candidateList>
        <item>：</item>
      </candidateList>
      <explain>文本全半角错误。</explain>
      <paraID>369DCB18</paraID>
      <start>754</start>
      <end>755</end>
      <status>unmodified</status>
      <modifiedWord/>
      <trackRevisions>false</trackRevisions>
    </reviewItem>
    <reviewItem>
      <errorID>212c59ed-94f1-42f3-a433-4e1e071898d1</errorID>
      <errorWord>)</errorWord>
      <group>L1_Format</group>
      <groupName>格式问题</groupName>
      <ability>L2_HalfPunc_CN</ability>
      <abilityName>全半角问题</abilityName>
      <candidateList>
        <item>）</item>
      </candidateList>
      <explain>文本全半角错误。</explain>
      <paraID>369DCB18</paraID>
      <start>756</start>
      <end>757</end>
      <status>unmodified</status>
      <modifiedWord/>
      <trackRevisions>false</trackRevisions>
    </reviewItem>
    <reviewItem>
      <errorID>721cf4e1-a170-4e0a-962e-653e2bf63024</errorID>
      <errorWord>)</errorWord>
      <group>L1_Format</group>
      <groupName>格式问题</groupName>
      <ability>L2_HalfPunc_CN</ability>
      <abilityName>全半角问题</abilityName>
      <candidateList>
        <item>）</item>
      </candidateList>
      <explain>文本全半角错误。</explain>
      <paraID>369DCB18</paraID>
      <start>786</start>
      <end>787</end>
      <status>unmodified</status>
      <modifiedWord/>
      <trackRevisions>false</trackRevisions>
    </reviewItem>
    <reviewItem>
      <errorID>c41541f3-e42e-4427-ae21-e3f33dc91f99</errorID>
      <errorWord>)</errorWord>
      <group>L1_Format</group>
      <groupName>格式问题</groupName>
      <ability>L2_HalfPunc_CN</ability>
      <abilityName>全半角问题</abilityName>
      <candidateList>
        <item>）</item>
      </candidateList>
      <explain>文本全半角错误。</explain>
      <paraID>369DCB18</paraID>
      <start>939</start>
      <end>940</end>
      <status>unmodified</status>
      <modifiedWord/>
      <trackRevisions>false</trackRevisions>
    </reviewItem>
    <reviewItem>
      <errorID>162f9b99-8363-4e2e-af9e-906202f7faba</errorID>
      <errorWord>)</errorWord>
      <group>L1_Format</group>
      <groupName>格式问题</groupName>
      <ability>L2_HalfPunc_CN</ability>
      <abilityName>全半角问题</abilityName>
      <candidateList>
        <item>）</item>
      </candidateList>
      <explain>文本全半角错误。</explain>
      <paraID>369DCB18</paraID>
      <start>990</start>
      <end>991</end>
      <status>unmodified</status>
      <modifiedWord/>
      <trackRevisions>false</trackRevisions>
    </reviewItem>
    <reviewItem>
      <errorID>0db3fda6-2986-479f-abfe-8753781102f6</errorID>
      <errorWord>)</errorWord>
      <group>L1_Format</group>
      <groupName>格式问题</groupName>
      <ability>L2_HalfPunc_CN</ability>
      <abilityName>全半角问题</abilityName>
      <candidateList>
        <item>）</item>
      </candidateList>
      <explain>文本全半角错误。</explain>
      <paraID>369DCB18</paraID>
      <start>1040</start>
      <end>1041</end>
      <status>unmodified</status>
      <modifiedWord/>
      <trackRevisions>false</trackRevisions>
    </reviewItem>
    <reviewItem>
      <errorID>774a69e8-8fa5-4db4-b85a-cde5f699232c</errorID>
      <errorWord>臭层物质</errorWord>
      <group>L1_Word</group>
      <groupName>字词问题</groupName>
      <ability>L2_Typo</ability>
      <abilityName>字词错误</abilityName>
      <candidateList>
        <item>臭氧层物质</item>
      </candidateList>
      <explain/>
      <paraID>369DCB18</paraID>
      <start>1045</start>
      <end>1049</end>
      <status>unmodified</status>
      <modifiedWord/>
      <trackRevisions>false</trackRevisions>
    </reviewItem>
    <reviewItem>
      <errorID>37302f4c-e6c6-44f3-a1da-f188999b0321</errorID>
      <errorWord>)</errorWord>
      <group>L1_Format</group>
      <groupName>格式问题</groupName>
      <ability>L2_HalfPunc_CN</ability>
      <abilityName>全半角问题</abilityName>
      <candidateList>
        <item>）</item>
      </candidateList>
      <explain>文本全半角错误。</explain>
      <paraID>369DCB18</paraID>
      <start>1090</start>
      <end>1091</end>
      <status>unmodified</status>
      <modifiedWord/>
      <trackRevisions>false</trackRevisions>
    </reviewItem>
    <reviewItem>
      <errorID>abdf6baf-e73f-4fcb-b2e3-67a32aee50ae</errorID>
      <errorWord>(</errorWord>
      <group>L1_Format</group>
      <groupName>格式问题</groupName>
      <ability>L2_HalfPunc_CN</ability>
      <abilityName>全半角问题</abilityName>
      <candidateList>
        <item>（</item>
      </candidateList>
      <explain>文本全半角错误。</explain>
      <paraID>369DCB18</paraID>
      <start>1106</start>
      <end>1107</end>
      <status>unmodified</status>
      <modifiedWord/>
      <trackRevisions>false</trackRevisions>
    </reviewItem>
    <reviewItem>
      <errorID>4bc71323-ab7d-49ef-8926-ee2a449b309c</errorID>
      <errorWord>)</errorWord>
      <group>L1_Format</group>
      <groupName>格式问题</groupName>
      <ability>L2_HalfPunc_CN</ability>
      <abilityName>全半角问题</abilityName>
      <candidateList>
        <item>）</item>
      </candidateList>
      <explain>文本全半角错误。</explain>
      <paraID>369DCB18</paraID>
      <start>1109</start>
      <end>1110</end>
      <status>unmodified</status>
      <modifiedWord/>
      <trackRevisions>false</trackRevisions>
    </reviewItem>
    <reviewItem>
      <errorID>3e9b6bad-da4a-4608-bec5-8100a4baad46</errorID>
      <errorWord>)</errorWord>
      <group>L1_Format</group>
      <groupName>格式问题</groupName>
      <ability>L2_HalfPunc_CN</ability>
      <abilityName>全半角问题</abilityName>
      <candidateList>
        <item>）</item>
      </candidateList>
      <explain>文本全半角错误。</explain>
      <paraID>369DCB18</paraID>
      <start>1170</start>
      <end>1171</end>
      <status>unmodified</status>
      <modifiedWord/>
      <trackRevisions>false</trackRevisions>
    </reviewItem>
    <reviewItem>
      <errorID>e38d5583-e63b-4f93-b781-7eba437cb4e9</errorID>
      <errorWord>氣</errorWord>
      <group>L1_Word</group>
      <groupName>字词问题</groupName>
      <ability>L2_Fanti</ability>
      <abilityName>繁转简</abilityName>
      <candidateList>
        <item>气</item>
      </candidateList>
      <explain/>
      <paraID>369DCB18</paraID>
      <start>1199</start>
      <end>1200</end>
      <status>unmodified</status>
      <modifiedWord/>
      <trackRevisions>false</trackRevisions>
    </reviewItem>
    <reviewItem>
      <errorID>8f77da19-b148-47a6-8e0e-948009dbc9f5</errorID>
      <errorWord>三氟乙烷</errorWord>
      <group>L1_Knowledge</group>
      <groupName>知识性问题</groupName>
      <ability>L2_Term</ability>
      <abilityName>专业术语</abilityName>
      <candidateList>
        <item>氟烷</item>
      </candidateList>
      <explain>医学名词[三氟乙烷]为不规范表述或旧称，其规范书面表述为[氟烷]。</explain>
      <paraID>369DCB18</paraID>
      <start>1209</start>
      <end>1213</end>
      <status>unmodified</status>
      <modifiedWord/>
      <trackRevisions>false</trackRevisions>
    </reviewItem>
    <reviewItem>
      <errorID>6f6cd7ec-44c5-4bf7-98bd-26827b03ad64</errorID>
      <errorWord>氣</errorWord>
      <group>L1_Word</group>
      <groupName>字词问题</groupName>
      <ability>L2_Fanti</ability>
      <abilityName>繁转简</abilityName>
      <candidateList>
        <item>气</item>
      </candidateList>
      <explain/>
      <paraID>369DCB18</paraID>
      <start>1225</start>
      <end>1226</end>
      <status>unmodified</status>
      <modifiedWord/>
      <trackRevisions>false</trackRevisions>
    </reviewItem>
    <reviewItem>
      <errorID>e4ee308c-59f7-4304-857e-578034b9a5f9</errorID>
      <errorWord>(</errorWord>
      <group>L1_Format</group>
      <groupName>格式问题</groupName>
      <ability>L2_HalfPunc_CN</ability>
      <abilityName>全半角问题</abilityName>
      <candidateList>
        <item>（</item>
      </candidateList>
      <explain>文本全半角错误。</explain>
      <paraID>369DCB18</paraID>
      <start>1254</start>
      <end>1255</end>
      <status>unmodified</status>
      <modifiedWord/>
      <trackRevisions>false</trackRevisions>
    </reviewItem>
    <reviewItem>
      <errorID>4a99aac5-5066-4911-b636-d470abc3534d</errorID>
      <errorWord>)</errorWord>
      <group>L1_Format</group>
      <groupName>格式问题</groupName>
      <ability>L2_HalfPunc_CN</ability>
      <abilityName>全半角问题</abilityName>
      <candidateList>
        <item>）</item>
      </candidateList>
      <explain>文本全半角错误。</explain>
      <paraID>369DCB18</paraID>
      <start>1261</start>
      <end>1262</end>
      <status>unmodified</status>
      <modifiedWord/>
      <trackRevisions>false</trackRevisions>
    </reviewItem>
    <reviewItem>
      <errorID>76808b53-ba3d-49ef-9d6d-1f65b19fd343</errorID>
      <errorWord>(</errorWord>
      <group>L1_Format</group>
      <groupName>格式问题</groupName>
      <ability>L2_HalfPunc_CN</ability>
      <abilityName>全半角问题</abilityName>
      <candidateList>
        <item>（</item>
      </candidateList>
      <explain>文本全半角错误。</explain>
      <paraID>369DCB18</paraID>
      <start>1270</start>
      <end>1271</end>
      <status>unmodified</status>
      <modifiedWord/>
      <trackRevisions>false</trackRevisions>
    </reviewItem>
    <reviewItem>
      <errorID>5f5c1b44-2df4-40fd-9381-ef8f7b415b0c</errorID>
      <errorWord>)</errorWord>
      <group>L1_Format</group>
      <groupName>格式问题</groupName>
      <ability>L2_HalfPunc_CN</ability>
      <abilityName>全半角问题</abilityName>
      <candidateList>
        <item>）</item>
      </candidateList>
      <explain>文本全半角错误。</explain>
      <paraID>369DCB18</paraID>
      <start>1272</start>
      <end>1273</end>
      <status>unmodified</status>
      <modifiedWord/>
      <trackRevisions>false</trackRevisions>
    </reviewItem>
    <reviewItem>
      <errorID>c62f63d4-7086-48df-b327-806b5f78fd58</errorID>
      <errorWord>曰常</errorWord>
      <group>L1_Word</group>
      <groupName>字词问题</groupName>
      <ability>L2_Typo</ability>
      <abilityName>字词错误</abilityName>
      <candidateList>
        <item>日常</item>
      </candidateList>
      <explain/>
      <paraID>277B4A1B</paraID>
      <start>115</start>
      <end>117</end>
      <status>unmodified</status>
      <modifiedWord/>
      <trackRevisions>false</trackRevisions>
    </reviewItem>
    <reviewItem>
      <errorID>3ef5d375-45ab-47cd-a46e-9e8d0d57b6d5</errorID>
      <errorWord>:</errorWord>
      <group>L1_Punc</group>
      <groupName>标点问题</groupName>
      <ability>L2_Punc_CN</ability>
      <abilityName>标点符号问题</abilityName>
      <candidateList>
        <item>。</item>
      </candidateList>
      <explain/>
      <paraID>277B4A1B</paraID>
      <start>126</start>
      <end>127</end>
      <status>unmodified</status>
      <modifiedWord/>
      <trackRevisions>false</trackRevisions>
    </reviewItem>
    <reviewItem>
      <errorID>96613f08-7694-4f40-8779-cc5e562a9662</errorID>
      <errorWord>:</errorWord>
      <group>L1_Punc</group>
      <groupName>标点问题</groupName>
      <ability>L2_Punc_CN</ability>
      <abilityName>标点符号问题</abilityName>
      <candidateList>
        <item>。</item>
      </candidateList>
      <explain/>
      <paraID>277B4A1B</paraID>
      <start>310</start>
      <end>311</end>
      <status>unmodified</status>
      <modifiedWord/>
      <trackRevisions>false</trackRevisions>
    </reviewItem>
    <reviewItem>
      <errorID>e8cef3ea-0e1e-4e78-8d84-8f6a68478419</errorID>
      <errorWord>:</errorWord>
      <group>L1_Punc</group>
      <groupName>标点问题</groupName>
      <ability>L2_Punc_CN</ability>
      <abilityName>标点符号问题</abilityName>
      <candidateList>
        <item>。</item>
      </candidateList>
      <explain/>
      <paraID>277B4A1B</paraID>
      <start>327</start>
      <end>328</end>
      <status>unmodified</status>
      <modifiedWord/>
      <trackRevisions>false</trackRevisions>
    </reviewItem>
    <reviewItem>
      <errorID>9da8bf68-1a69-4312-93e9-97f5d3c88629</errorID>
      <errorWord>有色金属冶东</errorWord>
      <group>L1_Other</group>
      <groupName>其他问题</groupName>
      <ability>L2_Consistency</ability>
      <abilityName>一致性检查</abilityName>
      <candidateList>
        <item>有色金属冶炼</item>
      </candidateList>
      <explain>实体一致性，原文前文正确表述为有色金属冶炼，此处拼写不一致</explain>
      <paraID>277B4A1B</paraID>
      <start>557</start>
      <end>563</end>
      <status>unmodified</status>
      <modifiedWord/>
      <trackRevisions>false</trackRevisions>
    </reviewItem>
    <reviewItem>
      <errorID>3b8cce7b-b73d-49e2-9119-a121a81af578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277B4A1B</paraID>
      <start>580</start>
      <end>581</end>
      <status>unmodified</status>
      <modifiedWord/>
      <trackRevisions>false</trackRevisions>
    </reviewItem>
    <reviewItem>
      <errorID>8002e6a1-fb26-4343-860d-d7189a11562f</errorID>
      <errorWord>;</errorWord>
      <group>L1_Format</group>
      <groupName>格式问题</groupName>
      <ability>L2_HalfPunc_CN</ability>
      <abilityName>全半角问题</abilityName>
      <candidateList>
        <item>；</item>
      </candidateList>
      <explain>文本全半角错误。</explain>
      <paraID>59F95F3D</paraID>
      <start>15</start>
      <end>16</end>
      <status>unmodified</status>
      <modifiedWord/>
      <trackRevisions>false</trackRevisions>
    </reviewItem>
    <reviewItem>
      <errorID>9dc1d2b1-bd10-4eb3-b299-189227569532</errorID>
      <errorWord>(</errorWord>
      <group>L1_Format</group>
      <groupName>格式问题</groupName>
      <ability>L2_HalfPunc_CN</ability>
      <abilityName>全半角问题</abilityName>
      <candidateList>
        <item>（</item>
      </candidateList>
      <explain>文本全半角错误。</explain>
      <paraID>59F95F3D</paraID>
      <start>48</start>
      <end>49</end>
      <status>unmodified</status>
      <modifiedWord/>
      <trackRevisions>false</trackRevisions>
    </reviewItem>
    <reviewItem>
      <errorID>de4ee0e9-bb4a-49d8-8129-ce39bae4361e</errorID>
      <errorWord>)</errorWord>
      <group>L1_Format</group>
      <groupName>格式问题</groupName>
      <ability>L2_HalfPunc_CN</ability>
      <abilityName>全半角问题</abilityName>
      <candidateList>
        <item>）</item>
      </candidateList>
      <explain>文本全半角错误。</explain>
      <paraID>59F95F3D</paraID>
      <start>51</start>
      <end>52</end>
      <status>unmodified</status>
      <modifiedWord/>
      <trackRevisions>false</trackRevisions>
    </reviewItem>
    <reviewItem>
      <errorID>fd9cdf9e-e704-4bc4-aec6-e8233eaad4cf</errorID>
      <errorWord>;</errorWord>
      <group>L1_Format</group>
      <groupName>格式问题</groupName>
      <ability>L2_HalfPunc_CN</ability>
      <abilityName>全半角问题</abilityName>
      <candidateList>
        <item>；</item>
      </candidateList>
      <explain>文本全半角错误。</explain>
      <paraID>59F95F3D</paraID>
      <start>99</start>
      <end>100</end>
      <status>unmodified</status>
      <modifiedWord/>
      <trackRevisions>false</trackRevisions>
    </reviewItem>
    <reviewItem>
      <errorID>f18cce56-3122-486c-afd5-07ab4e337640</errorID>
      <errorWord>:</errorWord>
      <group>L1_Format</group>
      <groupName>格式问题</groupName>
      <ability>L2_HalfPunc_CN</ability>
      <abilityName>全半角问题</abilityName>
      <candidateList>
        <item>：</item>
      </candidateList>
      <explain>文本全半角错误。</explain>
      <paraID>59F95F3D</paraID>
      <start>169</start>
      <end>170</end>
      <status>unmodified</status>
      <modifiedWord/>
      <trackRevisions>false</trackRevisions>
    </reviewItem>
    <reviewItem>
      <errorID>17c128ea-303b-4717-9989-542a54518be1</errorID>
      <errorWord>:</errorWord>
      <group>L1_Format</group>
      <groupName>格式问题</groupName>
      <ability>L2_HalfPunc_CN</ability>
      <abilityName>全半角问题</abilityName>
      <candidateList>
        <item>：</item>
      </candidateList>
      <explain>文本全半角错误。</explain>
      <paraID>59F95F3D</paraID>
      <start>195</start>
      <end>196</end>
      <status>unmodified</status>
      <modifiedWord/>
      <trackRevisions>false</trackRevisions>
    </reviewItem>
    <reviewItem>
      <errorID>42b0caba-caac-4ff3-b952-ceee67cacf00</errorID>
      <errorWord>;</errorWord>
      <group>L1_Format</group>
      <groupName>格式问题</groupName>
      <ability>L2_HalfPunc_CN</ability>
      <abilityName>全半角问题</abilityName>
      <candidateList>
        <item>；</item>
      </candidateList>
      <explain>文本全半角错误。</explain>
      <paraID>59F95F3D</paraID>
      <start>244</start>
      <end>245</end>
      <status>unmodified</status>
      <modifiedWord/>
      <trackRevisions>false</trackRevisions>
    </reviewItem>
    <reviewItem>
      <errorID>2b088fef-d15a-496e-9c25-3b39cc44bfac</errorID>
      <errorWord>:</errorWord>
      <group>L1_Format</group>
      <groupName>格式问题</groupName>
      <ability>L2_HalfPunc_CN</ability>
      <abilityName>全半角问题</abilityName>
      <candidateList>
        <item>：</item>
      </candidateList>
      <explain>文本全半角错误。</explain>
      <paraID>59F95F3D</paraID>
      <start>300</start>
      <end>301</end>
      <status>unmodified</status>
      <modifiedWord/>
      <trackRevisions>false</trackRevisions>
    </reviewItem>
    <reviewItem>
      <errorID>858904de-f846-4f27-9f40-5689776cf729</errorID>
      <errorWord>(</errorWord>
      <group>L1_Format</group>
      <groupName>格式问题</groupName>
      <ability>L2_HalfPunc_CN</ability>
      <abilityName>全半角问题</abilityName>
      <candidateList>
        <item>（</item>
      </candidateList>
      <explain>文本全半角错误。</explain>
      <paraID>59F95F3D</paraID>
      <start>304</start>
      <end>305</end>
      <status>unmodified</status>
      <modifiedWord/>
      <trackRevisions>false</trackRevisions>
    </reviewItem>
    <reviewItem>
      <errorID>673195d8-6f39-48bd-88b4-370a32260321</errorID>
      <errorWord>)</errorWord>
      <group>L1_Format</group>
      <groupName>格式问题</groupName>
      <ability>L2_HalfPunc_CN</ability>
      <abilityName>全半角问题</abilityName>
      <candidateList>
        <item>）</item>
      </candidateList>
      <explain>文本全半角错误。</explain>
      <paraID>59F95F3D</paraID>
      <start>329</start>
      <end>330</end>
      <status>unmodified</status>
      <modifiedWord/>
      <trackRevisions>false</trackRevisions>
    </reviewItem>
    <reviewItem>
      <errorID>5f048cc9-7790-4975-91da-fd55889a3eca</errorID>
      <errorWord>:</errorWord>
      <group>L1_Format</group>
      <groupName>格式问题</groupName>
      <ability>L2_HalfPunc_CN</ability>
      <abilityName>全半角问题</abilityName>
      <candidateList>
        <item>：</item>
      </candidateList>
      <explain>文本全半角错误。</explain>
      <paraID>59F95F3D</paraID>
      <start>331</start>
      <end>332</end>
      <status>unmodified</status>
      <modifiedWord/>
      <trackRevisions>false</trackRevisions>
    </reviewItem>
    <reviewItem>
      <errorID>91b474bc-3b6b-46ec-8a1d-6065c2e8473e</errorID>
      <errorWord>:</errorWord>
      <group>L1_Format</group>
      <groupName>格式问题</groupName>
      <ability>L2_HalfPunc_CN</ability>
      <abilityName>全半角问题</abilityName>
      <candidateList>
        <item>：</item>
      </candidateList>
      <explain>文本全半角错误。</explain>
      <paraID>59F95F3D</paraID>
      <start>369</start>
      <end>370</end>
      <status>unmodified</status>
      <modifiedWord/>
      <trackRevisions>false</trackRevisions>
    </reviewItem>
    <reviewItem>
      <errorID>e3c86784-f375-488e-86a3-6725e06a41cf</errorID>
      <errorWord>:</errorWord>
      <group>L1_Format</group>
      <groupName>格式问题</groupName>
      <ability>L2_HalfPunc_CN</ability>
      <abilityName>全半角问题</abilityName>
      <candidateList>
        <item>：</item>
      </candidateList>
      <explain>文本全半角错误。</explain>
      <paraID>59F95F3D</paraID>
      <start>388</start>
      <end>389</end>
      <status>unmodified</status>
      <modifiedWord/>
      <trackRevisions>false</trackRevisions>
    </reviewItem>
    <reviewItem>
      <errorID>79356f83-65c8-41e0-900d-2df68441b6a2</errorID>
      <errorWord>)</errorWord>
      <group>L1_Format</group>
      <groupName>格式问题</groupName>
      <ability>L2_HalfPunc_CN</ability>
      <abilityName>全半角问题</abilityName>
      <candidateList>
        <item>）</item>
      </candidateList>
      <explain>文本全半角错误。</explain>
      <paraID>59F95F3D</paraID>
      <start>432</start>
      <end>433</end>
      <status>unmodified</status>
      <modifiedWord/>
      <trackRevisions>false</trackRevisions>
    </reviewItem>
    <reviewItem>
      <errorID>0195b250-daa9-4b98-a415-e38dfe41950c</errorID>
      <errorWord>，</errorWord>
      <group>L1_Word</group>
      <groupName>字词问题</groupName>
      <ability>L2_Typo</ability>
      <abilityName>字词错误</abilityName>
      <candidateList>
        <item>，禁</item>
      </candidateList>
      <explain/>
      <paraID>59F95F3D</paraID>
      <start>438</start>
      <end>439</end>
      <status>unmodified</status>
      <modifiedWord/>
      <trackRevisions>false</trackRevisions>
    </reviewItem>
    <reviewItem>
      <errorID>f7f6984b-741f-41ae-9bae-e20c3519a5eb</errorID>
      <errorWord>止</errorWord>
      <group>L1_Word</group>
      <groupName>字词问题</groupName>
      <ability>L2_Typo</ability>
      <abilityName>字词错误</abilityName>
      <candidateList>
        <item>禁止</item>
      </candidateList>
      <explain/>
      <paraID>59F95F3D</paraID>
      <start>439</start>
      <end>440</end>
      <status>unmodified</status>
      <modifiedWord/>
      <trackRevisions>false</trackRevisions>
    </reviewItem>
    <reviewItem>
      <errorID>efdd1073-cd1f-4d42-bf47-7385dd505c51</errorID>
      <errorWord>:</errorWord>
      <group>L1_Format</group>
      <groupName>格式问题</groupName>
      <ability>L2_HalfPunc_CN</ability>
      <abilityName>全半角问题</abilityName>
      <candidateList>
        <item>：</item>
      </candidateList>
      <explain>文本全半角错误。</explain>
      <paraID>59F95F3D</paraID>
      <start>450</start>
      <end>451</end>
      <status>unmodified</status>
      <modifiedWord/>
      <trackRevisions>false</trackRevisions>
    </reviewItem>
    <reviewItem>
      <errorID>99f97e44-fbb4-4964-8c5c-6e518dc7ad39</errorID>
      <errorWord>页岩、液化石油气</errorWord>
      <group>L1_Other</group>
      <groupName>其他问题</groupName>
      <ability>L2_Consistency</ability>
      <abilityName>一致性检查</abilityName>
      <candidateList>
        <item>页岩气、液化石油气</item>
      </candidateList>
      <explain>术语一致性，原文前文正确表述为页岩气，此处表述不一致</explain>
      <paraID>59F95F3D</paraID>
      <start>495</start>
      <end>503</end>
      <status>unmodified</status>
      <modifiedWord/>
      <trackRevisions>false</trackRevisions>
    </reviewItem>
    <reviewItem>
      <errorID>7f573f3b-9465-4f20-b3d0-86356de347fb</errorID>
      <errorWord>)</errorWord>
      <group>L1_Format</group>
      <groupName>格式问题</groupName>
      <ability>L2_HalfPunc_CN</ability>
      <abilityName>全半角问题</abilityName>
      <candidateList>
        <item>）</item>
      </candidateList>
      <explain>文本全半角错误。</explain>
      <paraID>59F95F3D</paraID>
      <start>515</start>
      <end>516</end>
      <status>unmodified</status>
      <modifiedWord/>
      <trackRevisions>false</trackRevisions>
    </reviewItem>
    <reviewItem>
      <errorID>b8c99386-e754-4e4d-a7e4-5d02ede92d59</errorID>
      <errorWord>;</errorWord>
      <group>L1_Format</group>
      <groupName>格式问题</groupName>
      <ability>L2_HalfPunc_CN</ability>
      <abilityName>全半角问题</abilityName>
      <candidateList>
        <item>；</item>
      </candidateList>
      <explain>文本全半角错误。</explain>
      <paraID>59F95F3D</paraID>
      <start>574</start>
      <end>575</end>
      <status>unmodified</status>
      <modifiedWord/>
      <trackRevisions>false</trackRevisions>
    </reviewItem>
    <reviewItem>
      <errorID>20afd595-ee3c-44b6-a5b6-153dec9831e0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59F95F3D</paraID>
      <start>619</start>
      <end>620</end>
      <status>unmodified</status>
      <modifiedWord/>
      <trackRevisions>false</trackRevisions>
    </reviewItem>
    <reviewItem>
      <errorID>01ab6417-033d-4dca-9211-78dfa7bc34c6</errorID>
      <errorWord>)</errorWord>
      <group>L1_Format</group>
      <groupName>格式问题</groupName>
      <ability>L2_HalfPunc_CN</ability>
      <abilityName>全半角问题</abilityName>
      <candidateList>
        <item>）</item>
      </candidateList>
      <explain>文本全半角错误。</explain>
      <paraID>59F95F3D</paraID>
      <start>621</start>
      <end>622</end>
      <status>unmodified</status>
      <modifiedWord/>
      <trackRevisions>false</trackRevisions>
    </reviewItem>
    <reviewItem>
      <errorID>1e266b41-5476-4ca0-ad2e-93230cd7a005</errorID>
      <errorWord>)</errorWord>
      <group>L1_Format</group>
      <groupName>格式问题</groupName>
      <ability>L2_HalfPunc_CN</ability>
      <abilityName>全半角问题</abilityName>
      <candidateList>
        <item>）</item>
      </candidateList>
      <explain>文本全半角错误。</explain>
      <paraID>59F95F3D</paraID>
      <start>652</start>
      <end>653</end>
      <status>unmodified</status>
      <modifiedWord/>
      <trackRevisions>false</trackRevisions>
    </reviewItem>
    <reviewItem>
      <errorID>bc919fbb-6954-4d33-817f-20dbbe08a1f5</errorID>
      <errorWord>3、</errorWord>
      <group>L1_Format</group>
      <groupName>格式问题</groupName>
      <ability>L2_Ordinal</ability>
      <abilityName>序号格式</abilityName>
      <candidateList>
        <item>2、</item>
      </candidateList>
      <explain>标题顺序错误，请检查标题顺序是否合理。</explain>
      <paraID>2A87714E</paraID>
      <start>0</start>
      <end>2</end>
      <status>unmodified</status>
      <modifiedWord/>
      <trackRevisions>false</trackRevisions>
    </reviewItem>
    <reviewItem>
      <errorID>c18c0945-77ec-4b82-85a0-d9c7b39f97fb</errorID>
      <errorWord>提到:</errorWord>
      <group>L1_Word</group>
      <groupName>字词问题</groupName>
      <ability>L2_Typo</ability>
      <abilityName>字词错误</abilityName>
      <candidateList>
        <item>提道:</item>
      </candidateList>
      <explain/>
      <paraID>78870D71</paraID>
      <start>26</start>
      <end>29</end>
      <status>unmodified</status>
      <modifiedWord/>
      <trackRevisions>false</trackRevisions>
    </reviewItem>
    <reviewItem>
      <errorID>fdb3b763-2b4a-427f-bce8-aaa90bbc3e21</errorID>
      <errorWord>)</errorWord>
      <group>L1_Format</group>
      <groupName>格式问题</groupName>
      <ability>L2_HalfPunc_CN</ability>
      <abilityName>全半角问题</abilityName>
      <candidateList>
        <item>）</item>
      </candidateList>
      <explain>文本全半角错误。</explain>
      <paraID>78870D71</paraID>
      <start>32</start>
      <end>33</end>
      <status>unmodified</status>
      <modifiedWord/>
      <trackRevisions>false</trackRevisions>
    </reviewItem>
    <reviewItem>
      <errorID>13e21ad7-dee2-4eb7-9d19-faa5be2c1a94</errorID>
      <errorWord>(</errorWord>
      <group>L1_Format</group>
      <groupName>格式问题</groupName>
      <ability>L2_HalfPunc_CN</ability>
      <abilityName>全半角问题</abilityName>
      <candidateList>
        <item>（</item>
      </candidateList>
      <explain>文本全半角错误。</explain>
      <paraID>78870D71</paraID>
      <start>61</start>
      <end>62</end>
      <status>unmodified</status>
      <modifiedWord/>
      <trackRevisions>false</trackRevisions>
    </reviewItem>
    <reviewItem>
      <errorID>288fd8e2-dfff-4252-ba99-b0aa7d8a6ad0</errorID>
      <errorWord>)</errorWord>
      <group>L1_Format</group>
      <groupName>格式问题</groupName>
      <ability>L2_HalfPunc_CN</ability>
      <abilityName>全半角问题</abilityName>
      <candidateList>
        <item>）</item>
      </candidateList>
      <explain>文本全半角错误。</explain>
      <paraID>78870D71</paraID>
      <start>63</start>
      <end>64</end>
      <status>unmodified</status>
      <modifiedWord/>
      <trackRevisions>false</trackRevisions>
    </reviewItem>
    <reviewItem>
      <errorID>12dc1c8b-3bab-4206-bbbb-f9a6009a1565</errorID>
      <errorWord>工业</errorWord>
      <group>L1_Punc</group>
      <groupName>标点问题</groupName>
      <ability>L2_Punc_CN</ability>
      <abilityName>标点符号问题</abilityName>
      <candidateList>
        <item>。工业</item>
      </candidateList>
      <explain/>
      <paraID>78870D71</paraID>
      <start>82</start>
      <end>84</end>
      <status>unmodified</status>
      <modifiedWord/>
      <trackRevisions>false</trackRevisions>
    </reviewItem>
    <reviewItem>
      <errorID>ac03dca0-bab1-4ad1-b71a-ee214fc0d516</errorID>
      <errorWord>(</errorWord>
      <group>L1_Format</group>
      <groupName>格式问题</groupName>
      <ability>L2_HalfPunc_CN</ability>
      <abilityName>全半角问题</abilityName>
      <candidateList>
        <item>（</item>
      </candidateList>
      <explain>文本全半角错误。</explain>
      <paraID>78870D71</paraID>
      <start>145</start>
      <end>146</end>
      <status>unmodified</status>
      <modifiedWord/>
      <trackRevisions>false</trackRevisions>
    </reviewItem>
    <reviewItem>
      <errorID>3832098b-c8c1-4a93-b3cc-2b9d2034ffe1</errorID>
      <errorWord>)</errorWord>
      <group>L1_Format</group>
      <groupName>格式问题</groupName>
      <ability>L2_HalfPunc_CN</ability>
      <abilityName>全半角问题</abilityName>
      <candidateList>
        <item>）</item>
      </candidateList>
      <explain>文本全半角错误。</explain>
      <paraID>78870D71</paraID>
      <start>149</start>
      <end>150</end>
      <status>unmodified</status>
      <modifiedWord/>
      <trackRevisions>false</trackRevisions>
    </reviewItem>
    <reviewItem>
      <errorID>06db23b0-982c-46c1-9496-1994ddbb3470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3161A410</paraID>
      <start>0</start>
      <end>2</end>
      <status>unmodified</status>
      <modifiedWord/>
      <trackRevisions>false</trackRevisions>
    </reviewItem>
    <reviewItem>
      <errorID>f224d939-7451-4363-9a12-5be4ab183e9b</errorID>
      <errorWord>程</errorWord>
      <group>L1_Word</group>
      <groupName>字词问题</groupName>
      <ability>L2_Typo</ability>
      <abilityName>字词错误</abilityName>
      <candidateList>
        <item>程中</item>
      </candidateList>
      <explain/>
      <paraID>6867A895</paraID>
      <start>9</start>
      <end>10</end>
      <status>unmodified</status>
      <modifiedWord/>
      <trackRevisions>false</trackRevisions>
    </reviewItem>
    <reviewItem>
      <errorID>04ceb637-123a-424f-ae46-b5516589e2dc</errorID>
      <errorWord>会有废气产生</errorWord>
      <group>L1_Word</group>
      <groupName>字词问题</groupName>
      <ability>L2_Typo</ability>
      <abilityName>字词错误</abilityName>
      <candidateList>
        <item>中会产生废气</item>
      </candidateList>
      <explain/>
      <paraID>6867A895</paraID>
      <start>10</start>
      <end>16</end>
      <status>unmodified</status>
      <modifiedWord/>
      <trackRevisions>false</trackRevisions>
    </reviewItem>
    <reviewItem>
      <errorID>54aca272-c8f3-48ce-b9f6-7e5598720f13</errorID>
      <errorWord>会有废气产生</errorWord>
      <group>L1_Word</group>
      <groupName>字词问题</groupName>
      <ability>L2_Typo</ability>
      <abilityName>字词错误</abilityName>
      <candidateList>
        <item>会产生废气</item>
      </candidateList>
      <explain/>
      <paraID>6867A895</paraID>
      <start>36</start>
      <end>42</end>
      <status>unmodified</status>
      <modifiedWord/>
      <trackRevisions>false</trackRevisions>
    </reviewItem>
    <reviewItem>
      <errorID>bec90107-4edb-4f6a-9733-21ad15cb7651</errorID>
      <errorWord>，</errorWord>
      <group>L1_Punc</group>
      <groupName>标点问题</groupName>
      <ability>L2_Punc_CN</ability>
      <abilityName>标点符号问题</abilityName>
      <candidateList>
        <item>。</item>
      </candidateList>
      <explain/>
      <paraID>6867A895</paraID>
      <start>52</start>
      <end>53</end>
      <status>unmodified</status>
      <modifiedWord/>
      <trackRevisions>false</trackRevisions>
    </reviewItem>
    <reviewItem>
      <errorID>31960502-290b-48e1-a0d9-c2daf3e95cb3</errorID>
      <errorWord>5、</errorWord>
      <group>L1_Format</group>
      <groupName>格式问题</groupName>
      <ability>L2_Ordinal</ability>
      <abilityName>序号格式</abilityName>
      <candidateList>
        <item>4、</item>
      </candidateList>
      <explain>标题顺序错误，请检查标题顺序是否合理。</explain>
      <paraID>  4B404D</paraID>
      <start>0</start>
      <end>2</end>
      <status>unmodified</status>
      <modifiedWord/>
      <trackRevisions>false</trackRevisions>
    </reviewItem>
    <reviewItem>
      <errorID>28974853-2b2a-4088-8e17-5ea367ddba41</errorID>
      <errorWord>(</errorWord>
      <group>L1_Format</group>
      <groupName>格式问题</groupName>
      <ability>L2_HalfPunc_CN</ability>
      <abilityName>全半角问题</abilityName>
      <candidateList>
        <item>（</item>
      </candidateList>
      <explain>文本全半角错误。</explain>
      <paraID>  4B404D</paraID>
      <start>17</start>
      <end>18</end>
      <status>unmodified</status>
      <modifiedWord/>
      <trackRevisions>false</trackRevisions>
    </reviewItem>
    <reviewItem>
      <errorID>51e40733-c30a-4fae-bcfa-f1a76efb2252</errorID>
      <errorWord>)</errorWord>
      <group>L1_Format</group>
      <groupName>格式问题</groupName>
      <ability>L2_HalfPunc_CN</ability>
      <abilityName>全半角问题</abilityName>
      <candidateList>
        <item>）</item>
      </candidateList>
      <explain>文本全半角错误。</explain>
      <paraID>  4B404D</paraID>
      <start>31</start>
      <end>32</end>
      <status>unmodified</status>
      <modifiedWord/>
      <trackRevisions>false</trackRevisions>
    </reviewItem>
    <reviewItem>
      <errorID>a3f0050f-09f1-4a40-b553-a114449c2011</errorID>
      <errorWord>:</errorWord>
      <group>L1_Format</group>
      <groupName>格式问题</groupName>
      <ability>L2_HalfPunc_CN</ability>
      <abilityName>全半角问题</abilityName>
      <candidateList>
        <item>：</item>
      </candidateList>
      <explain>文本全半角错误。</explain>
      <paraID>58100B03</paraID>
      <start>21</start>
      <end>22</end>
      <status>unmodified</status>
      <modifiedWord/>
      <trackRevisions>false</trackRevisions>
    </reviewItem>
    <reviewItem>
      <errorID>cd92e1d0-b279-4030-add7-a77456d2de0b</errorID>
      <errorWord>:(</errorWord>
      <group>L1_Format</group>
      <groupName>格式问题</groupName>
      <ability>L2_HalfPunc_CN</ability>
      <abilityName>全半角问题</abilityName>
      <candidateList>
        <item>：（</item>
      </candidateList>
      <explain>文本全半角错误。</explain>
      <paraID>58100B03</paraID>
      <start>129</start>
      <end>131</end>
      <status>unmodified</status>
      <modifiedWord/>
      <trackRevisions>false</trackRevisions>
    </reviewItem>
    <reviewItem>
      <errorID>872f7b0b-8f7a-465f-aa26-25788259710b</errorID>
      <errorWord>)</errorWord>
      <group>L1_Format</group>
      <groupName>格式问题</groupName>
      <ability>L2_HalfPunc_CN</ability>
      <abilityName>全半角问题</abilityName>
      <candidateList>
        <item>）</item>
      </candidateList>
      <explain>文本全半角错误。</explain>
      <paraID>58100B03</paraID>
      <start>132</start>
      <end>133</end>
      <status>unmodified</status>
      <modifiedWord/>
      <trackRevisions>false</trackRevisions>
    </reviewItem>
    <reviewItem>
      <errorID>5193f2e2-1d40-476f-b3c7-b678d9a8d405</errorID>
      <errorWord>;(</errorWord>
      <group>L1_Format</group>
      <groupName>格式问题</groupName>
      <ability>L2_HalfPunc_CN</ability>
      <abilityName>全半角问题</abilityName>
      <candidateList>
        <item>；（</item>
      </candidateList>
      <explain>文本全半角错误。</explain>
      <paraID>58100B03</paraID>
      <start>150</start>
      <end>152</end>
      <status>unmodified</status>
      <modifiedWord/>
      <trackRevisions>false</trackRevisions>
    </reviewItem>
    <reviewItem>
      <errorID>a1e4f79c-90d6-4680-b693-168ea238c75f</errorID>
      <errorWord>)</errorWord>
      <group>L1_Format</group>
      <groupName>格式问题</groupName>
      <ability>L2_HalfPunc_CN</ability>
      <abilityName>全半角问题</abilityName>
      <candidateList>
        <item>）</item>
      </candidateList>
      <explain>文本全半角错误。</explain>
      <paraID>58100B03</paraID>
      <start>153</start>
      <end>154</end>
      <status>unmodified</status>
      <modifiedWord/>
      <trackRevisions>false</trackRevisions>
    </reviewItem>
    <reviewItem>
      <errorID>099e2ab6-2f0e-4f02-ad56-0cdb06a8546b</errorID>
      <errorWord>;(</errorWord>
      <group>L1_Format</group>
      <groupName>格式问题</groupName>
      <ability>L2_HalfPunc_CN</ability>
      <abilityName>全半角问题</abilityName>
      <candidateList>
        <item>；（</item>
      </candidateList>
      <explain>文本全半角错误。</explain>
      <paraID>58100B03</paraID>
      <start>187</start>
      <end>189</end>
      <status>unmodified</status>
      <modifiedWord/>
      <trackRevisions>false</trackRevisions>
    </reviewItem>
    <reviewItem>
      <errorID>789a4762-16b1-4452-ab09-97e8b5e7fa10</errorID>
      <errorWord>)</errorWord>
      <group>L1_Format</group>
      <groupName>格式问题</groupName>
      <ability>L2_HalfPunc_CN</ability>
      <abilityName>全半角问题</abilityName>
      <candidateList>
        <item>）</item>
      </candidateList>
      <explain>文本全半角错误。</explain>
      <paraID>58100B03</paraID>
      <start>190</start>
      <end>191</end>
      <status>unmodified</status>
      <modifiedWord/>
      <trackRevisions>false</trackRevisions>
    </reviewItem>
    <reviewItem>
      <errorID>4fb8e596-f1c2-42eb-ab7f-71a08608359c</errorID>
      <errorWord>:(</errorWord>
      <group>L1_Format</group>
      <groupName>格式问题</groupName>
      <ability>L2_HalfPunc_CN</ability>
      <abilityName>全半角问题</abilityName>
      <candidateList>
        <item>：（</item>
      </candidateList>
      <explain>文本全半角错误。</explain>
      <paraID>58100B03</paraID>
      <start>240</start>
      <end>242</end>
      <status>unmodified</status>
      <modifiedWord/>
      <trackRevisions>false</trackRevisions>
    </reviewItem>
    <reviewItem>
      <errorID>ef3a4046-89f6-4736-a314-2900db2080e9</errorID>
      <errorWord>)</errorWord>
      <group>L1_Format</group>
      <groupName>格式问题</groupName>
      <ability>L2_HalfPunc_CN</ability>
      <abilityName>全半角问题</abilityName>
      <candidateList>
        <item>）</item>
      </candidateList>
      <explain>文本全半角错误。</explain>
      <paraID>58100B03</paraID>
      <start>243</start>
      <end>244</end>
      <status>unmodified</status>
      <modifiedWord/>
      <trackRevisions>false</trackRevisions>
    </reviewItem>
    <reviewItem>
      <errorID>9cc82a95-dd37-48f1-86fc-00af9c0aa14d</errorID>
      <errorWord>;(</errorWord>
      <group>L1_Format</group>
      <groupName>格式问题</groupName>
      <ability>L2_HalfPunc_CN</ability>
      <abilityName>全半角问题</abilityName>
      <candidateList>
        <item>；（</item>
      </candidateList>
      <explain>文本全半角错误。</explain>
      <paraID>58100B03</paraID>
      <start>269</start>
      <end>271</end>
      <status>unmodified</status>
      <modifiedWord/>
      <trackRevisions>false</trackRevisions>
    </reviewItem>
    <reviewItem>
      <errorID>915b14eb-b465-4be8-8668-8469881df8eb</errorID>
      <errorWord>)</errorWord>
      <group>L1_Format</group>
      <groupName>格式问题</groupName>
      <ability>L2_HalfPunc_CN</ability>
      <abilityName>全半角问题</abilityName>
      <candidateList>
        <item>）</item>
      </candidateList>
      <explain>文本全半角错误。</explain>
      <paraID>58100B03</paraID>
      <start>272</start>
      <end>273</end>
      <status>unmodified</status>
      <modifiedWord/>
      <trackRevisions>false</trackRevisions>
    </reviewItem>
    <reviewItem>
      <errorID>93dce936-12cb-467c-bf1a-b5b486a70b75</errorID>
      <errorWord>;(</errorWord>
      <group>L1_Format</group>
      <groupName>格式问题</groupName>
      <ability>L2_HalfPunc_CN</ability>
      <abilityName>全半角问题</abilityName>
      <candidateList>
        <item>；（</item>
      </candidateList>
      <explain>文本全半角错误。</explain>
      <paraID>58100B03</paraID>
      <start>307</start>
      <end>309</end>
      <status>unmodified</status>
      <modifiedWord/>
      <trackRevisions>false</trackRevisions>
    </reviewItem>
    <reviewItem>
      <errorID>19183655-b429-4080-9bbf-64ed5f2b1ffd</errorID>
      <errorWord>)</errorWord>
      <group>L1_Format</group>
      <groupName>格式问题</groupName>
      <ability>L2_HalfPunc_CN</ability>
      <abilityName>全半角问题</abilityName>
      <candidateList>
        <item>）</item>
      </candidateList>
      <explain>文本全半角错误。</explain>
      <paraID>58100B03</paraID>
      <start>310</start>
      <end>311</end>
      <status>unmodified</status>
      <modifiedWord/>
      <trackRevisions>false</trackRevisions>
    </reviewItem>
    <reviewItem>
      <errorID>23c851b0-73b2-4c18-93e9-2ec12efd96e4</errorID>
      <errorWord>:(</errorWord>
      <group>L1_Format</group>
      <groupName>格式问题</groupName>
      <ability>L2_HalfPunc_CN</ability>
      <abilityName>全半角问题</abilityName>
      <candidateList>
        <item>：（</item>
      </candidateList>
      <explain>文本全半角错误。</explain>
      <paraID>58100B03</paraID>
      <start>338</start>
      <end>340</end>
      <status>unmodified</status>
      <modifiedWord/>
      <trackRevisions>false</trackRevisions>
    </reviewItem>
    <reviewItem>
      <errorID>4e1a2f08-678e-40e1-a70f-d4da2c1c223f</errorID>
      <errorWord>)</errorWord>
      <group>L1_Format</group>
      <groupName>格式问题</groupName>
      <ability>L2_HalfPunc_CN</ability>
      <abilityName>全半角问题</abilityName>
      <candidateList>
        <item>）</item>
      </candidateList>
      <explain>文本全半角错误。</explain>
      <paraID>58100B03</paraID>
      <start>341</start>
      <end>342</end>
      <status>unmodified</status>
      <modifiedWord/>
      <trackRevisions>false</trackRevisions>
    </reviewItem>
    <reviewItem>
      <errorID>c650ab29-c27f-4e83-9943-0abc6d5f8f37</errorID>
      <errorWord>;(</errorWord>
      <group>L1_Format</group>
      <groupName>格式问题</groupName>
      <ability>L2_HalfPunc_CN</ability>
      <abilityName>全半角问题</abilityName>
      <candidateList>
        <item>；（</item>
      </candidateList>
      <explain>文本全半角错误。</explain>
      <paraID>58100B03</paraID>
      <start>356</start>
      <end>358</end>
      <status>unmodified</status>
      <modifiedWord/>
      <trackRevisions>false</trackRevisions>
    </reviewItem>
    <reviewItem>
      <errorID>c2f33c36-8c31-4265-9806-14d50b7c7800</errorID>
      <errorWord>)</errorWord>
      <group>L1_Format</group>
      <groupName>格式问题</groupName>
      <ability>L2_HalfPunc_CN</ability>
      <abilityName>全半角问题</abilityName>
      <candidateList>
        <item>）</item>
      </candidateList>
      <explain>文本全半角错误。</explain>
      <paraID>58100B03</paraID>
      <start>359</start>
      <end>360</end>
      <status>unmodified</status>
      <modifiedWord/>
      <trackRevisions>false</trackRevisions>
    </reviewItem>
    <reviewItem>
      <errorID>924d2eb7-30e8-4568-88a0-1d074a983138</errorID>
      <errorWord>施工期时</errorWord>
      <group>L1_Word</group>
      <groupName>字词问题</groupName>
      <ability>L2_Typo</ability>
      <abilityName>字词错误</abilityName>
      <candidateList>
        <item>施工期</item>
      </candidateList>
      <explain/>
      <paraID>5F25B09A</paraID>
      <start>4</start>
      <end>8</end>
      <status>unmodified</status>
      <modifiedWord/>
      <trackRevisions>false</trackRevisions>
    </reviewItem>
    <reviewItem>
      <errorID>ef125260-7239-4433-8fd6-75e23169b28e</errorID>
      <errorWord>、</errorWord>
      <group>L1_Punc</group>
      <groupName>标点问题</groupName>
      <ability>L2_Punc_CN</ability>
      <abilityName>标点符号问题</abilityName>
      <candidateList>
        <item>，</item>
      </candidateList>
      <explain/>
      <paraID>5F25B09A</paraID>
      <start>15</start>
      <end>16</end>
      <status>unmodified</status>
      <modifiedWord/>
      <trackRevisions>false</trackRevisions>
    </reviewItem>
    <reviewItem>
      <errorID>3da9a601-0bc9-4fdb-b22c-e2fd3a64edd2</errorID>
      <errorWord>(</errorWord>
      <group>L1_Format</group>
      <groupName>格式问题</groupName>
      <ability>L2_HalfPunc_CN</ability>
      <abilityName>全半角问题</abilityName>
      <candidateList>
        <item>（</item>
      </candidateList>
      <explain>文本全半角错误。</explain>
      <paraID>5F25B09A</paraID>
      <start>153</start>
      <end>154</end>
      <status>unmodified</status>
      <modifiedWord/>
      <trackRevisions>false</trackRevisions>
    </reviewItem>
    <reviewItem>
      <errorID>5f9d9a84-56e9-441e-a12b-64874c0f7830</errorID>
      <errorWord>)</errorWord>
      <group>L1_Format</group>
      <groupName>格式问题</groupName>
      <ability>L2_HalfPunc_CN</ability>
      <abilityName>全半角问题</abilityName>
      <candidateList>
        <item>）</item>
      </candidateList>
      <explain>文本全半角错误。</explain>
      <paraID>5F25B09A</paraID>
      <start>163</start>
      <end>164</end>
      <status>unmodified</status>
      <modifiedWord/>
      <trackRevisions>false</trackRevisions>
    </reviewItem>
    <reviewItem>
      <errorID>8d4207c8-d10f-4196-a106-52764a93cb37</errorID>
      <errorWord>,</errorWord>
      <group>L1_Format</group>
      <groupName>格式问题</groupName>
      <ability>L2_HalfPunc_CN</ability>
      <abilityName>全半角问题</abilityName>
      <candidateList>
        <item>，</item>
      </candidateList>
      <explain>文本全半角错误。</explain>
      <paraID>5F25B09A</paraID>
      <start>165</start>
      <end>166</end>
      <status>unmodified</status>
      <modifiedWord/>
      <trackRevisions>false</trackRevisions>
    </reviewItem>
    <reviewItem>
      <errorID>0f7e1791-b04a-49cc-b433-e6feb0b8e42d</errorID>
      <errorWord>(</errorWord>
      <group>L1_Format</group>
      <groupName>格式问题</groupName>
      <ability>L2_HalfPunc_CN</ability>
      <abilityName>全半角问题</abilityName>
      <candidateList>
        <item>（</item>
      </candidateList>
      <explain>文本全半角错误。</explain>
      <paraID>5F25B09A</paraID>
      <start>193</start>
      <end>194</end>
      <status>unmodified</status>
      <modifiedWord/>
      <trackRevisions>false</trackRevisions>
    </reviewItem>
    <reviewItem>
      <errorID>4909dc8a-0aa0-4652-8292-b90b06ea6c97</errorID>
      <errorWord>)</errorWord>
      <group>L1_Format</group>
      <groupName>格式问题</groupName>
      <ability>L2_HalfPunc_CN</ability>
      <abilityName>全半角问题</abilityName>
      <candidateList>
        <item>）</item>
      </candidateList>
      <explain>文本全半角错误。</explain>
      <paraID>5F25B09A</paraID>
      <start>206</start>
      <end>207</end>
      <status>unmodified</status>
      <modifiedWord/>
      <trackRevisions>false</trackRevisions>
    </reviewItem>
    <reviewItem>
      <errorID>0da7fd23-947f-4955-8341-206ea438714a</errorID>
      <errorWord>(</errorWord>
      <group>L1_Format</group>
      <groupName>格式问题</groupName>
      <ability>L2_HalfPunc_CN</ability>
      <abilityName>全半角问题</abilityName>
      <candidateList>
        <item>（</item>
      </candidateList>
      <explain>文本全半角错误。</explain>
      <paraID>5F25B09A</paraID>
      <start>229</start>
      <end>230</end>
      <status>unmodified</status>
      <modifiedWord/>
      <trackRevisions>false</trackRevisions>
    </reviewItem>
    <reviewItem>
      <errorID>f575e071-6f9d-4f04-93ab-1d086efa4400</errorID>
      <errorWord>)</errorWord>
      <group>L1_Format</group>
      <groupName>格式问题</groupName>
      <ability>L2_HalfPunc_CN</ability>
      <abilityName>全半角问题</abilityName>
      <candidateList>
        <item>）</item>
      </candidateList>
      <explain>文本全半角错误。</explain>
      <paraID>5F25B09A</paraID>
      <start>234</start>
      <end>235</end>
      <status>unmodified</status>
      <modifiedWord/>
      <trackRevisions>false</trackRevisions>
    </reviewItem>
    <reviewItem>
      <errorID>5e969315-acb7-48cc-9ec5-13f956063843</errorID>
      <errorWord>(</errorWord>
      <group>L1_Format</group>
      <groupName>格式问题</groupName>
      <ability>L2_HalfPunc_CN</ability>
      <abilityName>全半角问题</abilityName>
      <candidateList>
        <item>（</item>
      </candidateList>
      <explain>文本全半角错误。</explain>
      <paraID>5F25B09A</paraID>
      <start>325</start>
      <end>326</end>
      <status>unmodified</status>
      <modifiedWord/>
      <trackRevisions>false</trackRevisions>
    </reviewItem>
    <reviewItem>
      <errorID>3dea72e2-9014-4ec2-be83-fa215f04a518</errorID>
      <errorWord>)</errorWord>
      <group>L1_Format</group>
      <groupName>格式问题</groupName>
      <ability>L2_HalfPunc_CN</ability>
      <abilityName>全半角问题</abilityName>
      <candidateList>
        <item>）</item>
      </candidateList>
      <explain>文本全半角错误。</explain>
      <paraID>5F25B09A</paraID>
      <start>338</start>
      <end>339</end>
      <status>unmodified</status>
      <modifiedWord/>
      <trackRevisions>false</trackRevisions>
    </reviewItem>
    <reviewItem>
      <errorID>4986560c-4d25-43db-b03f-bc8086dc30be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6A60DF84</paraID>
      <start>0</start>
      <end>2</end>
      <status>unmodified</status>
      <modifiedWord/>
      <trackRevisions>false</trackRevisions>
    </reviewItem>
    <reviewItem>
      <errorID>7d766133-673b-4eee-8160-75062405557f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7D45E769</paraID>
      <start>0</start>
      <end>2</end>
      <status>unmodified</status>
      <modifiedWord/>
      <trackRevisions>false</trackRevisions>
    </reviewItem>
    <reviewItem>
      <errorID>109edc60-c950-4568-ad10-8067b7d629ce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56866750</paraID>
      <start>0</start>
      <end>2</end>
      <status>unmodified</status>
      <modifiedWord/>
      <trackRevisions>false</trackRevisions>
    </reviewItem>
    <reviewItem>
      <errorID>a8e160a4-66d6-4055-b113-b6bfd6a48926</errorID>
      <errorWord>(</errorWord>
      <group>L1_Format</group>
      <groupName>格式问题</groupName>
      <ability>L2_HalfPunc_CN</ability>
      <abilityName>全半角问题</abilityName>
      <candidateList>
        <item>（</item>
      </candidateList>
      <explain>文本全半角错误。</explain>
      <paraID>678E08E7</paraID>
      <start>4</start>
      <end>5</end>
      <status>unmodified</status>
      <modifiedWord/>
      <trackRevisions>false</trackRevisions>
    </reviewItem>
    <reviewItem>
      <errorID>659a7c93-4e4c-4f06-939f-76dbf201072a</errorID>
      <errorWord>)</errorWord>
      <group>L1_Format</group>
      <groupName>格式问题</groupName>
      <ability>L2_HalfPunc_CN</ability>
      <abilityName>全半角问题</abilityName>
      <candidateList>
        <item>）</item>
      </candidateList>
      <explain>文本全半角错误。</explain>
      <paraID>678E08E7</paraID>
      <start>8</start>
      <end>9</end>
      <status>unmodified</status>
      <modifiedWord/>
      <trackRevisions>false</trackRevisions>
    </reviewItem>
    <reviewItem>
      <errorID>ca82a727-34fb-49eb-82cb-824bf44d5197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5D7BDC24</paraID>
      <start>0</start>
      <end>2</end>
      <status>unmodified</status>
      <modifiedWord/>
      <trackRevisions>false</trackRevisions>
    </reviewItem>
    <reviewItem>
      <errorID>a37e4733-bbf4-48e5-b058-23a554bc754e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65278543</paraID>
      <start>0</start>
      <end>2</end>
      <status>unmodified</status>
      <modifiedWord/>
      <trackRevisions>false</trackRevisions>
    </reviewItem>
    <reviewItem>
      <errorID>4019c4e8-cb12-4894-8d26-ab77d6ea7a78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415EE05A</paraID>
      <start>0</start>
      <end>2</end>
      <status>unmodified</status>
      <modifiedWord/>
      <trackRevisions>false</trackRevisions>
    </reviewItem>
    <reviewItem>
      <errorID>f607f1b6-f97a-4560-bd09-d2af31a33ab2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416992DA</paraID>
      <start>0</start>
      <end>2</end>
      <status>unmodified</status>
      <modifiedWord/>
      <trackRevisions>false</trackRevisions>
    </reviewItem>
    <reviewItem>
      <errorID>c13d266a-0e5d-497e-ba4b-a33ed506a884</errorID>
      <errorWord>。</errorWord>
      <group>L1_Grammar</group>
      <groupName>语法问题</groupName>
      <ability>L2_Grammar</ability>
      <abilityName>语法错误</abilityName>
      <candidateList>
        <item>需求。</item>
      </candidateList>
      <explain/>
      <paraID>62E5A5FB</paraID>
      <start>22</start>
      <end>24</end>
      <status>unmodified</status>
      <modifiedWord/>
      <trackRevisions>false</trackRevisions>
    </reviewItem>
    <reviewItem>
      <errorID>643572ee-b9ee-4d94-aabe-2b31c318be84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4B64D093</paraID>
      <start>0</start>
      <end>2</end>
      <status>unmodified</status>
      <modifiedWord/>
      <trackRevisions>false</trackRevisions>
    </reviewItem>
    <reviewItem>
      <errorID>434b609a-5a25-4c00-9bb1-868420f3d735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55D14DDD</paraID>
      <start>0</start>
      <end>2</end>
      <status>unmodified</status>
      <modifiedWord/>
      <trackRevisions>false</trackRevisions>
    </reviewItem>
    <reviewItem>
      <errorID>4ae3b2d9-1c5c-4dd0-9f7f-682210abd286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292084BA</paraID>
      <start>0</start>
      <end>2</end>
      <status>unmodified</status>
      <modifiedWord/>
      <trackRevisions>false</trackRevisions>
    </reviewItem>
    <reviewItem>
      <errorID>16c03919-4a3b-4e31-84f7-7da0a3766d19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24086CCC</paraID>
      <start>0</start>
      <end>2</end>
      <status>unmodified</status>
      <modifiedWord/>
      <trackRevisions>false</trackRevisions>
    </reviewItem>
    <reviewItem>
      <errorID>f443f00e-6541-48e9-bc2d-6898e2ed2234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698DFD09</paraID>
      <start>0</start>
      <end>2</end>
      <status>unmodified</status>
      <modifiedWord/>
      <trackRevisions>false</trackRevisions>
    </reviewItem>
    <reviewItem>
      <errorID>50263ec0-5c51-4011-8fa6-ba1d3f82a851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1ABDC50C</paraID>
      <start>0</start>
      <end>2</end>
      <status>unmodified</status>
      <modifiedWord/>
      <trackRevisions>false</trackRevisions>
    </reviewItem>
    <reviewItem>
      <errorID>a909f2b6-e780-4fd0-b4ce-43385d6a9263</errorID>
      <errorWord> </errorWord>
      <group>L1_Punc</group>
      <groupName>标点问题</groupName>
      <ability>L2_Punc_CN</ability>
      <abilityName>标点符号问题</abilityName>
      <candidateList>
        <item/>
      </candidateList>
      <explain>此处空格冗余，建议删除。</explain>
      <paraID>597638B3</paraID>
      <start>69</start>
      <end>70</end>
      <status>unmodified</status>
      <modifiedWord/>
      <trackRevisions>false</trackRevisions>
    </reviewItem>
    <reviewItem>
      <errorID>2e35e925-8ce6-42b4-9525-966a85a99220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39BE0AAB</paraID>
      <start>0</start>
      <end>2</end>
      <status>unmodified</status>
      <modifiedWord/>
      <trackRevisions>false</trackRevisions>
    </reviewItem>
    <reviewItem>
      <errorID>f8053562-8373-4902-a947-d679bd880ba4</errorID>
      <errorWord>一</errorWord>
      <group>L1_Word</group>
      <groupName>字词问题</groupName>
      <ability>L2_Typo</ability>
      <abilityName>字词错误</abilityName>
      <candidateList>
        <item>一道</item>
      </candidateList>
      <explain/>
      <paraID>52167582</paraID>
      <start>77</start>
      <end>78</end>
      <status>unmodified</status>
      <modifiedWord/>
      <trackRevisions>false</trackRevisions>
    </reviewItem>
    <reviewItem>
      <errorID>b910bbdf-bcd8-43cb-a062-534584900061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3CB57AE0</paraID>
      <start>0</start>
      <end>2</end>
      <status>unmodified</status>
      <modifiedWord/>
      <trackRevisions>false</trackRevisions>
    </reviewItem>
    <reviewItem>
      <errorID>8acbad2b-338a-4ef1-9a34-1b7f95fe7589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3D4F23FC</paraID>
      <start>0</start>
      <end>2</end>
      <status>unmodified</status>
      <modifiedWord/>
      <trackRevisions>false</trackRevisions>
    </reviewItem>
    <reviewItem>
      <errorID>e2d3b832-70ff-4497-ad39-d8f6aaf44fb5</errorID>
      <errorWord>GB3095</errorWord>
      <group>L1_Word</group>
      <groupName>字词问题</groupName>
      <ability>L2_Typo</ability>
      <abilityName>字词错误</abilityName>
      <candidateList>
        <item>GB 3095</item>
      </candidateList>
      <explain/>
      <paraID>6CD1B8E6</paraID>
      <start>46</start>
      <end>52</end>
      <status>unmodified</status>
      <modifiedWord/>
      <trackRevisions>false</trackRevisions>
    </reviewItem>
    <reviewItem>
      <errorID>fbd10cdd-6462-4354-80c2-ad1d923d3315</errorID>
      <errorWord>(</errorWord>
      <group>L1_Format</group>
      <groupName>格式问题</groupName>
      <ability>L2_HalfPunc_CN</ability>
      <abilityName>全半角问题</abilityName>
      <candidateList>
        <item>（</item>
      </candidateList>
      <explain>文本全半角错误。</explain>
      <paraID>2C639D01</paraID>
      <start>3</start>
      <end>4</end>
      <status>unmodified</status>
      <modifiedWord/>
      <trackRevisions>false</trackRevisions>
    </reviewItem>
    <reviewItem>
      <errorID>9637e1c1-5209-43f6-8034-fd338edbc236</errorID>
      <errorWord>)</errorWord>
      <group>L1_Format</group>
      <groupName>格式问题</groupName>
      <ability>L2_HalfPunc_CN</ability>
      <abilityName>全半角问题</abilityName>
      <candidateList>
        <item>）</item>
      </candidateList>
      <explain>文本全半角错误。</explain>
      <paraID>2C639D01</paraID>
      <start>12</start>
      <end>13</end>
      <status>unmodified</status>
      <modifiedWord/>
      <trackRevisions>false</trackRevisions>
    </reviewItem>
    <reviewItem>
      <errorID>9a9d1975-5675-4aef-8709-75b9a8a8d0b6</errorID>
      <errorWord>（</errorWord>
      <group>L1_Format</group>
      <groupName>格式问题</groupName>
      <ability>L2_HalfPunc_CN</ability>
      <abilityName>全半角问题</abilityName>
      <candidateList>
        <item>(</item>
      </candidateList>
      <explain>文本全半角错误。</explain>
      <paraID>69D711D7</paraID>
      <start>2</start>
      <end>3</end>
      <status>unmodified</status>
      <modifiedWord/>
      <trackRevisions>false</trackRevisions>
    </reviewItem>
    <reviewItem>
      <errorID>befa01bb-d43c-4460-910c-e16fd6a5e6fc</errorID>
      <errorWord>m3</errorWord>
      <group>L1_Word</group>
      <groupName>字词问题</groupName>
      <ability>L2_Typo</ability>
      <abilityName>字词错误</abilityName>
      <candidateList>
        <item>m³</item>
      </candidateList>
      <explain/>
      <paraID>69D711D7</paraID>
      <start>6</start>
      <end>8</end>
      <status>unmodified</status>
      <modifiedWord/>
      <trackRevisions>false</trackRevisions>
    </reviewItem>
    <reviewItem>
      <errorID>c462614f-20f0-4b21-a06a-53dc58835b13</errorID>
      <errorWord>）</errorWord>
      <group>L1_Format</group>
      <groupName>格式问题</groupName>
      <ability>L2_HalfPunc_CN</ability>
      <abilityName>全半角问题</abilityName>
      <candidateList>
        <item>)</item>
      </candidateList>
      <explain>文本全半角错误。</explain>
      <paraID>69D711D7</paraID>
      <start>8</start>
      <end>9</end>
      <status>unmodified</status>
      <modifiedWord/>
      <trackRevisions>false</trackRevisions>
    </reviewItem>
    <reviewItem>
      <errorID>4091ef97-fd19-42a9-a64a-dba3269be244</errorID>
      <errorWord>5）、</errorWord>
      <group>L1_Punc</group>
      <groupName>标点问题</groupName>
      <ability>L2_Punc_CN</ability>
      <abilityName>标点符号问题</abilityName>
      <candidateList>
        <item>5）</item>
      </candidateList>
      <explain>根据国标GB/T 15834-2011《标点符号用法》中的4.5.3.3节，带括号的汉字数字或阿拉伯数字表次序时，后面通常不加顿号。如“（一）指导思想”“（二）行动指南”。</explain>
      <paraID>254A13D5</paraID>
      <start>42</start>
      <end>45</end>
      <status>unmodified</status>
      <modifiedWord/>
      <trackRevisions>false</trackRevisions>
    </reviewItem>
    <reviewItem>
      <errorID>3d481fa6-c566-441a-b63a-470328530f1c</errorID>
      <errorWord>根据排放</errorWord>
      <group>L1_Grammar</group>
      <groupName>语法问题</groupName>
      <ability>L2_Grammar</ability>
      <abilityName>语法错误</abilityName>
      <candidateList>
        <item>根据</item>
      </candidateList>
      <explain/>
      <paraID>35E5EE46</paraID>
      <start>43</start>
      <end>47</end>
      <status>unmodified</status>
      <modifiedWord/>
      <trackRevisions>false</trackRevisions>
    </reviewItem>
    <reviewItem>
      <errorID>99afb196-32d7-4364-9bdc-dd56286b3e61</errorID>
      <errorWord>有</errorWord>
      <group>L1_Word</group>
      <groupName>字词问题</groupName>
      <ability>L2_Typo</ability>
      <abilityName>字词错误</abilityName>
      <candidateList>
        <item>对有</item>
      </candidateList>
      <explain/>
      <paraID>35E5EE46</paraID>
      <start>62</start>
      <end>63</end>
      <status>unmodified</status>
      <modifiedWord/>
      <trackRevisions>false</trackRevisions>
    </reviewItem>
    <reviewItem>
      <errorID>f450bd0f-8d58-4a33-96d9-c17d014dcde9</errorID>
      <errorWord>时</errorWord>
      <group>L1_Grammar</group>
      <groupName>语法问题</groupName>
      <ability>L2_Grammar</ability>
      <abilityName>语法错误</abilityName>
      <candidateList>
        <item>的规定</item>
      </candidateList>
      <explain/>
      <paraID>35E5EE46</paraID>
      <start>75</start>
      <end>76</end>
      <status>unmodified</status>
      <modifiedWord/>
      <trackRevisions>false</trackRevisions>
    </reviewItem>
    <reviewItem>
      <errorID>5f2d0661-773a-4c5a-95b1-8fc9a12b7019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35E5EE46</paraID>
      <start>190</start>
      <end>191</end>
      <status>unmodified</status>
      <modifiedWord/>
      <trackRevisions>false</trackRevisions>
    </reviewItem>
    <reviewItem>
      <errorID>54042e6a-e19b-4085-b172-f5be22ef99ed</errorID>
      <errorWord>3</errorWord>
      <group>L1_Word</group>
      <groupName>字词问题</groupName>
      <ability>L2_Typo</ability>
      <abilityName>字词错误</abilityName>
      <candidateList>
        <item>2</item>
      </candidateList>
      <explain/>
      <paraID>12CE22CD</paraID>
      <start>4</start>
      <end>5</end>
      <status>unmodified</status>
      <modifiedWord/>
      <trackRevisions>false</trackRevisions>
    </reviewItem>
    <reviewItem>
      <errorID>52c4d829-05ee-43f0-bdae-91d4bafe5393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5EC35A4B</paraID>
      <start>0</start>
      <end>2</end>
      <status>unmodified</status>
      <modifiedWord/>
      <trackRevisions>false</trackRevisions>
    </reviewItem>
    <reviewItem>
      <errorID>324de2e6-5c99-469c-a25d-139845b08691</errorID>
      <errorWord>GB3838</errorWord>
      <group>L1_Word</group>
      <groupName>字词问题</groupName>
      <ability>L2_Typo</ability>
      <abilityName>字词错误</abilityName>
      <candidateList>
        <item>GB 3838</item>
      </candidateList>
      <explain/>
      <paraID>6558ADC2</paraID>
      <start>180</start>
      <end>186</end>
      <status>unmodified</status>
      <modifiedWord/>
      <trackRevisions>false</trackRevisions>
    </reviewItem>
    <reviewItem>
      <errorID>f8459861-c31c-4d8c-a3f4-157eaf779425</errorID>
      <errorWord>）标准</errorWord>
      <group>L1_Grammar</group>
      <groupName>语法问题</groupName>
      <ability>L2_Grammar</ability>
      <abilityName>语法错误</abilityName>
      <candidateList>
        <item>）</item>
      </candidateList>
      <explain/>
      <paraID>6558ADC2</paraID>
      <start>191</start>
      <end>194</end>
      <status>unmodified</status>
      <modifiedWord/>
      <trackRevisions>false</trackRevisions>
    </reviewItem>
    <reviewItem>
      <errorID>8792bc20-0611-4fd6-9991-b23c592e9038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291F9892</paraID>
      <start>0</start>
      <end>2</end>
      <status>unmodified</status>
      <modifiedWord/>
      <trackRevisions>false</trackRevisions>
    </reviewItem>
    <reviewItem>
      <errorID>9e6fb382-2bf4-46e0-a50c-c018fbeb0bba</errorID>
      <errorWord>双鸭山市</errorWord>
      <group>L1_Word</group>
      <groupName>字词问题</groupName>
      <ability>L2_Typo</ability>
      <abilityName>字词错误</abilityName>
      <candidateList>
        <item>年双鸭山市</item>
      </candidateList>
      <explain/>
      <paraID>5F2A638A</paraID>
      <start>26</start>
      <end>30</end>
      <status>unmodified</status>
      <modifiedWord/>
      <trackRevisions>false</trackRevisions>
    </reviewItem>
    <reviewItem>
      <errorID>cc3eb86c-6e39-49a5-86f7-80f1eadede51</errorID>
      <errorWord>，</errorWord>
      <group>L1_Grammar</group>
      <groupName>语法问题</groupName>
      <ability>L2_Grammar</ability>
      <abilityName>语法错误</abilityName>
      <candidateList>
        <item>，本项目</item>
      </candidateList>
      <explain/>
      <paraID>223AE379</paraID>
      <start>32</start>
      <end>33</end>
      <status>unmodified</status>
      <modifiedWord/>
      <trackRevisions>false</trackRevisions>
    </reviewItem>
    <reviewItem>
      <errorID>2450429d-1382-4efd-b847-52b484995903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2C0846D5</paraID>
      <start>0</start>
      <end>2</end>
      <status>unmodified</status>
      <modifiedWord/>
      <trackRevisions>false</trackRevisions>
    </reviewItem>
    <reviewItem>
      <errorID>dd194586-8efe-4202-8a0f-e428634cfe07</errorID>
      <errorWord> </errorWord>
      <group>L1_Punc</group>
      <groupName>标点问题</groupName>
      <ability>L2_Punc_CN</ability>
      <abilityName>标点符号问题</abilityName>
      <candidateList>
        <item/>
      </candidateList>
      <explain>此处空格冗余，建议删除。</explain>
      <paraID> F7529DC</paraID>
      <start>97</start>
      <end>98</end>
      <status>unmodified</status>
      <modifiedWord/>
      <trackRevisions>false</trackRevisions>
    </reviewItem>
    <reviewItem>
      <errorID>ae4aaf99-84b1-4c47-b993-a96cd80c0078</errorID>
      <errorWord> </errorWord>
      <group>L1_Punc</group>
      <groupName>标点问题</groupName>
      <ability>L2_Punc_CN</ability>
      <abilityName>标点符号问题</abilityName>
      <candidateList>
        <item/>
      </candidateList>
      <explain>此处空格冗余，建议删除。</explain>
      <paraID>2B89EE8E</paraID>
      <start>3</start>
      <end>4</end>
      <status>unmodified</status>
      <modifiedWord/>
      <trackRevisions>false</trackRevisions>
    </reviewItem>
    <reviewItem>
      <errorID>490721bb-3855-4fbc-8464-a80ff6a14730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41D841F0</paraID>
      <start>0</start>
      <end>2</end>
      <status>unmodified</status>
      <modifiedWord/>
      <trackRevisions>false</trackRevisions>
    </reviewItem>
    <reviewItem>
      <errorID>7ab6e775-35ed-4a42-8e93-727ae35e5401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658E1821</paraID>
      <start>0</start>
      <end>2</end>
      <status>unmodified</status>
      <modifiedWord/>
      <trackRevisions>false</trackRevisions>
    </reviewItem>
    <reviewItem>
      <errorID>e2fc405e-5b67-436d-89a3-fa8e1f23b7ec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5150A91C</paraID>
      <start>0</start>
      <end>2</end>
      <status>unmodified</status>
      <modifiedWord/>
      <trackRevisions>false</trackRevisions>
    </reviewItem>
    <reviewItem>
      <errorID>f6e14f1a-db5f-40be-a87f-1f7c57c01912</errorID>
      <errorWord>GB16297</errorWord>
      <group>L1_Word</group>
      <groupName>字词问题</groupName>
      <ability>L2_Typo</ability>
      <abilityName>字词错误</abilityName>
      <candidateList>
        <item>GB 16297</item>
      </candidateList>
      <explain/>
      <paraID>3FAAF8E7</paraID>
      <start>88</start>
      <end>95</end>
      <status>unmodified</status>
      <modifiedWord/>
      <trackRevisions>false</trackRevisions>
    </reviewItem>
    <reviewItem>
      <errorID>08257dc2-4df7-4368-b306-b209d82aad62</errorID>
      <errorWord>）中的</errorWord>
      <group>L1_Grammar</group>
      <groupName>语法问题</groupName>
      <ability>L2_Grammar</ability>
      <abilityName>语法错误</abilityName>
      <candidateList>
        <item>）</item>
      </candidateList>
      <explain/>
      <paraID>3FAAF8E7</paraID>
      <start>100</start>
      <end>103</end>
      <status>unmodified</status>
      <modifiedWord/>
      <trackRevisions>false</trackRevisions>
    </reviewItem>
    <reviewItem>
      <errorID>fcfbffde-87d4-411b-960b-c8a96f624ee9</errorID>
      <errorWord>GB16297</errorWord>
      <group>L1_Word</group>
      <groupName>字词问题</groupName>
      <ability>L2_Typo</ability>
      <abilityName>字词错误</abilityName>
      <candidateList>
        <item>GB 16297</item>
      </candidateList>
      <explain/>
      <paraID>3DE32D05</paraID>
      <start>16</start>
      <end>23</end>
      <status>unmodified</status>
      <modifiedWord/>
      <trackRevisions>false</trackRevisions>
    </reviewItem>
    <reviewItem>
      <errorID>0870e2bb-f887-4395-935e-21f0e5b11469</errorID>
      <errorWord>）中</errorWord>
      <group>L1_Word</group>
      <groupName>字词问题</groupName>
      <ability>L2_Typo</ability>
      <abilityName>字词错误</abilityName>
      <candidateList>
        <item>）</item>
      </candidateList>
      <explain/>
      <paraID>3DE32D05</paraID>
      <start>28</start>
      <end>30</end>
      <status>unmodified</status>
      <modifiedWord/>
      <trackRevisions>false</trackRevisions>
    </reviewItem>
    <reviewItem>
      <errorID>d135dff8-2312-4879-94cc-f5abac56b37c</errorID>
      <errorWord>排气简高度</errorWord>
      <group>L1_Other</group>
      <groupName>其他问题</groupName>
      <ability>L2_Consistency</ability>
      <abilityName>一致性检查</abilityName>
      <candidateList>
        <item>排气筒高度</item>
      </candidateList>
      <explain>实体一致性，全文其余位置均表述为排气筒，此处拼写不一致</explain>
      <paraID>3DE32D05</paraID>
      <start>33</start>
      <end>38</end>
      <status>unmodified</status>
      <modifiedWord/>
      <trackRevisions>false</trackRevisions>
    </reviewItem>
    <reviewItem>
      <errorID>48ffc910-60dd-4018-ad53-305a038e691c</errorID>
      <errorWord>GB16297</errorWord>
      <group>L1_Word</group>
      <groupName>字词问题</groupName>
      <ability>L2_Typo</ability>
      <abilityName>字词错误</abilityName>
      <candidateList>
        <item>GB 16297</item>
      </candidateList>
      <explain/>
      <paraID>3F941DE9</paraID>
      <start>19</start>
      <end>26</end>
      <status>unmodified</status>
      <modifiedWord/>
      <trackRevisions>false</trackRevisions>
    </reviewItem>
    <reviewItem>
      <errorID>f22f2802-6c42-4dc6-97eb-9ddc0b1c19d8</errorID>
      <errorWord>m3</errorWord>
      <group>L1_Word</group>
      <groupName>字词问题</groupName>
      <ability>L2_Typo</ability>
      <abilityName>字词错误</abilityName>
      <candidateList>
        <item>m³</item>
      </candidateList>
      <explain/>
      <paraID> F7F1190</paraID>
      <start>3</start>
      <end>5</end>
      <status>unmodified</status>
      <modifiedWord/>
      <trackRevisions>false</trackRevisions>
    </reviewItem>
    <reviewItem>
      <errorID>e4e22f01-549a-4fcb-8be8-39a1fd5f6261</errorID>
      <errorWord>m3</errorWord>
      <group>L1_Word</group>
      <groupName>字词问题</groupName>
      <ability>L2_Typo</ability>
      <abilityName>字词错误</abilityName>
      <candidateList>
        <item>m³</item>
      </candidateList>
      <explain/>
      <paraID>2B5AFBD9</paraID>
      <start>6</start>
      <end>8</end>
      <status>unmodified</status>
      <modifiedWord/>
      <trackRevisions>false</trackRevisions>
    </reviewItem>
    <reviewItem>
      <errorID>3e906093-d0e5-4002-a556-8235f304a357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1D20BCE3</paraID>
      <start>0</start>
      <end>2</end>
      <status>unmodified</status>
      <modifiedWord/>
      <trackRevisions>false</trackRevisions>
    </reviewItem>
    <reviewItem>
      <errorID>6a386227-7b4f-4986-a859-b60a36872d87</errorID>
      <errorWord>《</errorWord>
      <group>L1_Punc</group>
      <groupName>标点问题</groupName>
      <ability>L2_Punc_CN</ability>
      <abilityName>标点符号问题</abilityName>
      <candidateList>
        <item> 《</item>
      </candidateList>
      <explain/>
      <paraID>4D91640A</paraID>
      <start>4</start>
      <end>5</end>
      <status>unmodified</status>
      <modifiedWord/>
      <trackRevisions>false</trackRevisions>
    </reviewItem>
    <reviewItem>
      <errorID>5bf8607f-595a-4156-b7a2-79af251bd9cc</errorID>
      <errorWord>GB12348</errorWord>
      <group>L1_Word</group>
      <groupName>字词问题</groupName>
      <ability>L2_Typo</ability>
      <abilityName>字词错误</abilityName>
      <candidateList>
        <item>GB 12348</item>
      </candidateList>
      <explain/>
      <paraID>4D91640A</paraID>
      <start>21</start>
      <end>28</end>
      <status>unmodified</status>
      <modifiedWord/>
      <trackRevisions>false</trackRevisions>
    </reviewItem>
    <reviewItem>
      <errorID>d5c76d89-7500-47d4-8599-b1dd8abb8324</errorID>
      <errorWord>GB12348</errorWord>
      <group>L1_Word</group>
      <groupName>字词问题</groupName>
      <ability>L2_Typo</ability>
      <abilityName>字词错误</abilityName>
      <candidateList>
        <item>GB 12348</item>
      </candidateList>
      <explain/>
      <paraID>3EA85C9F</paraID>
      <start>1</start>
      <end>8</end>
      <status>unmodified</status>
      <modifiedWord/>
      <trackRevisions>false</trackRevisions>
    </reviewItem>
    <reviewItem>
      <errorID>52e095c1-6ce0-490c-909b-afc153000528</errorID>
      <errorWord>（</errorWord>
      <group>L1_Format</group>
      <groupName>格式问题</groupName>
      <ability>L2_HalfPunc_CN</ability>
      <abilityName>全半角问题</abilityName>
      <candidateList>
        <item>(</item>
      </candidateList>
      <explain>文本全半角错误。</explain>
      <paraID>62D43A09</paraID>
      <start>4</start>
      <end>5</end>
      <status>unmodified</status>
      <modifiedWord/>
      <trackRevisions>false</trackRevisions>
    </reviewItem>
    <reviewItem>
      <errorID>7b3c4669-956d-454a-9aa3-e9ddec1cbebf</errorID>
      <errorWord>）</errorWord>
      <group>L1_Punc</group>
      <groupName>标点问题</groupName>
      <ability>L2_Punc_CN</ability>
      <abilityName>标点符号问题</abilityName>
      <candidateList>
        <item>）；</item>
      </candidateList>
      <explain/>
      <paraID>62D43A09</paraID>
      <start>6</start>
      <end>7</end>
      <status>unmodified</status>
      <modifiedWord/>
      <trackRevisions>false</trackRevisions>
    </reviewItem>
    <reviewItem>
      <errorID>2b6902f0-feff-4200-830c-1c7041b44d89</errorID>
      <errorWord>（</errorWord>
      <group>L1_Format</group>
      <groupName>格式问题</groupName>
      <ability>L2_HalfPunc_CN</ability>
      <abilityName>全半角问题</abilityName>
      <candidateList>
        <item>(</item>
      </candidateList>
      <explain>文本全半角错误。</explain>
      <paraID>448658C8</paraID>
      <start>4</start>
      <end>5</end>
      <status>unmodified</status>
      <modifiedWord/>
      <trackRevisions>false</trackRevisions>
    </reviewItem>
    <reviewItem>
      <errorID>7f08dd79-4f92-45ff-82b5-0e71c635e752</errorID>
      <errorWord>）</errorWord>
      <group>L1_Punc</group>
      <groupName>标点问题</groupName>
      <ability>L2_Punc_CN</ability>
      <abilityName>标点符号问题</abilityName>
      <candidateList>
        <item>）。</item>
      </candidateList>
      <explain/>
      <paraID>448658C8</paraID>
      <start>6</start>
      <end>7</end>
      <status>unmodified</status>
      <modifiedWord/>
      <trackRevisions>false</trackRevisions>
    </reviewItem>
    <reviewItem>
      <errorID>0f1a5370-e8a0-44b9-a5e3-c21e91d5d1b3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43CCB1B9</paraID>
      <start>0</start>
      <end>2</end>
      <status>unmodified</status>
      <modifiedWord/>
      <trackRevisions>false</trackRevisions>
    </reviewItem>
    <reviewItem>
      <errorID>3a84ec73-b982-48ad-b2fb-94fd1f515d26</errorID>
      <errorWord>GB18599</errorWord>
      <group>L1_Word</group>
      <groupName>字词问题</groupName>
      <ability>L2_Typo</ability>
      <abilityName>字词错误</abilityName>
      <candidateList>
        <item>GB 18599</item>
      </candidateList>
      <explain/>
      <paraID>2B735D46</paraID>
      <start>25</start>
      <end>32</end>
      <status>unmodified</status>
      <modifiedWord/>
      <trackRevisions>false</trackRevisions>
    </reviewItem>
    <reviewItem>
      <errorID>d7a46297-3e63-4ad7-a50c-f19d6a3e1379</errorID>
      <errorWord>本</errorWord>
      <group>L1_Word</group>
      <groupName>字词问题</groupName>
      <ability>L2_Typo</ability>
      <abilityName>字词错误</abilityName>
      <candidateList>
        <item> 本</item>
      </candidateList>
      <explain/>
      <paraID>54B8C9BE</paraID>
      <start>4</start>
      <end>5</end>
      <status>unmodified</status>
      <modifiedWord/>
      <trackRevisions>false</trackRevisions>
    </reviewItem>
    <reviewItem>
      <errorID>a01804b8-9f62-4ce9-912a-5f2f42a6d042</errorID>
      <errorWord>施工期的</errorWord>
      <group>L1_Word</group>
      <groupName>字词问题</groupName>
      <ability>L2_Typo</ability>
      <abilityName>字词错误</abilityName>
      <candidateList>
        <item>施工期</item>
      </candidateList>
      <explain/>
      <paraID>5B0871A0</paraID>
      <start>70</start>
      <end>74</end>
      <status>unmodified</status>
      <modifiedWord/>
      <trackRevisions>false</trackRevisions>
    </reviewItem>
    <reviewItem>
      <errorID>7c87dba9-c583-4003-a355-abe6b22fc014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27886E94</paraID>
      <start>0</start>
      <end>2</end>
      <status>unmodified</status>
      <modifiedWord/>
      <trackRevisions>false</trackRevisions>
    </reviewItem>
    <reviewItem>
      <errorID>6b1026b5-085d-42b7-890a-19a3de03dfb9</errorID>
      <errorWord>选</errorWord>
      <group>L1_Word</group>
      <groupName>字词问题</groupName>
      <ability>L2_Typo</ability>
      <abilityName>字词错误</abilityName>
      <candidateList>
        <item>选用</item>
      </candidateList>
      <explain/>
      <paraID>61B2384D</paraID>
      <start>16</start>
      <end>17</end>
      <status>unmodified</status>
      <modifiedWord/>
      <trackRevisions>false</trackRevisions>
    </reviewItem>
    <reviewItem>
      <errorID>6e5cbce5-b963-4c8c-9fbc-2625296c64c7</errorID>
      <errorWord>在严格</errorWord>
      <group>L1_Word</group>
      <groupName>字词问题</groupName>
      <ability>L2_Typo</ability>
      <abilityName>字词错误</abilityName>
      <candidateList>
        <item>严格</item>
      </candidateList>
      <explain/>
      <paraID>30B2213D</paraID>
      <start>0</start>
      <end>3</end>
      <status>unmodified</status>
      <modifiedWord/>
      <trackRevisions>false</trackRevisions>
    </reviewItem>
    <reviewItem>
      <errorID>725dc3ce-d059-43a4-a4de-ff39a3c0dd82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74E55E03</paraID>
      <start>0</start>
      <end>2</end>
      <status>unmodified</status>
      <modifiedWord/>
      <trackRevisions>false</trackRevisions>
    </reviewItem>
    <reviewItem>
      <errorID>c8ad54d6-16c5-4395-9e8d-dbd5f781c25b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C426DAF</paraID>
      <start>0</start>
      <end>2</end>
      <status>unmodified</status>
      <modifiedWord/>
      <trackRevisions>false</trackRevisions>
    </reviewItem>
    <reviewItem>
      <errorID>d7248dc2-5b46-488a-9b24-7daca8a4dee1</errorID>
      <errorWord>：</errorWord>
      <group>L1_Format</group>
      <groupName>格式问题</groupName>
      <ability>L2_HalfPunc_CN</ability>
      <abilityName>全半角问题</abilityName>
      <candidateList>
        <item>:</item>
      </candidateList>
      <explain>文本全半角错误。</explain>
      <paraID>315F5ED7</paraID>
      <start>20</start>
      <end>21</end>
      <status>unmodified</status>
      <modifiedWord/>
      <trackRevisions>false</trackRevisions>
    </reviewItem>
    <reviewItem>
      <errorID>36024a37-2680-43d7-af5a-a2c49f7f470b</errorID>
      <errorWord>：</errorWord>
      <group>L1_Format</group>
      <groupName>格式问题</groupName>
      <ability>L2_HalfPunc_CN</ability>
      <abilityName>全半角问题</abilityName>
      <candidateList>
        <item>:</item>
      </candidateList>
      <explain>文本全半角错误。</explain>
      <paraID>315F5ED7</paraID>
      <start>26</start>
      <end>27</end>
      <status>unmodified</status>
      <modifiedWord/>
      <trackRevisions>false</trackRevisions>
    </reviewItem>
    <reviewItem>
      <errorID>94352da9-7a45-4c05-b033-be22866f9d74</errorID>
      <errorWord>：</errorWord>
      <group>L1_Format</group>
      <groupName>格式问题</groupName>
      <ability>L2_HalfPunc_CN</ability>
      <abilityName>全半角问题</abilityName>
      <candidateList>
        <item>:</item>
      </candidateList>
      <explain>文本全半角错误。</explain>
      <paraID>315F5ED7</paraID>
      <start>34</start>
      <end>35</end>
      <status>unmodified</status>
      <modifiedWord/>
      <trackRevisions>false</trackRevisions>
    </reviewItem>
    <reviewItem>
      <errorID>596d7a26-d378-49d1-a924-a143eec2231b</errorID>
      <errorWord>：</errorWord>
      <group>L1_Format</group>
      <groupName>格式问题</groupName>
      <ability>L2_HalfPunc_CN</ability>
      <abilityName>全半角问题</abilityName>
      <candidateList>
        <item>:</item>
      </candidateList>
      <explain>文本全半角错误。</explain>
      <paraID>315F5ED7</paraID>
      <start>40</start>
      <end>41</end>
      <status>unmodified</status>
      <modifiedWord/>
      <trackRevisions>false</trackRevisions>
    </reviewItem>
    <reviewItem>
      <errorID>e7268f39-c6bc-4e72-a3e5-f37fb2918282</errorID>
      <errorWord>(</errorWord>
      <group>L1_Format</group>
      <groupName>格式问题</groupName>
      <ability>L2_HalfPunc_CN</ability>
      <abilityName>全半角问题</abilityName>
      <candidateList>
        <item>（</item>
      </candidateList>
      <explain>文本全半角错误。</explain>
      <paraID> 1B8652D</paraID>
      <start>33</start>
      <end>34</end>
      <status>unmodified</status>
      <modifiedWord/>
      <trackRevisions>false</trackRevisions>
    </reviewItem>
    <reviewItem>
      <errorID>7f3acd50-9cbd-463b-93b6-ce3923a0cfa7</errorID>
      <errorWord>)</errorWord>
      <group>L1_Format</group>
      <groupName>格式问题</groupName>
      <ability>L2_HalfPunc_CN</ability>
      <abilityName>全半角问题</abilityName>
      <candidateList>
        <item>）</item>
      </candidateList>
      <explain>文本全半角错误。</explain>
      <paraID> 1B8652D</paraID>
      <start>47</start>
      <end>48</end>
      <status>unmodified</status>
      <modifiedWord/>
      <trackRevisions>false</trackRevisions>
    </reviewItem>
    <reviewItem>
      <errorID>f74feedd-3642-4d49-a399-df82707b3413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809D94B</paraID>
      <start>0</start>
      <end>2</end>
      <status>unmodified</status>
      <modifiedWord/>
      <trackRevisions>false</trackRevisions>
    </reviewItem>
    <reviewItem>
      <errorID>8f6f77d4-b95e-4d1a-8a03-0c5527f58b3a</errorID>
      <errorWord>下角料</errorWord>
      <group>L1_Word</group>
      <groupName>字词问题</groupName>
      <ability>L2_Typo</ability>
      <abilityName>字词错误</abilityName>
      <candidateList>
        <item>下脚料</item>
      </candidateList>
      <explain>存在发音相同字词的误用。</explain>
      <paraID>5B279324</paraID>
      <start>31</start>
      <end>34</end>
      <status>unmodified</status>
      <modifiedWord/>
      <trackRevisions>false</trackRevisions>
    </reviewItem>
    <reviewItem>
      <errorID>fc4ad0ff-9e5e-4302-9e65-123cfc211b34</errorID>
      <errorWord>:</errorWord>
      <group>L1_Punc</group>
      <groupName>标点问题</groupName>
      <ability>L2_Punc_CN</ability>
      <abilityName>标点符号问题</abilityName>
      <candidateList>
        <item>；</item>
      </candidateList>
      <explain/>
      <paraID>5B279324</paraID>
      <start>48</start>
      <end>49</end>
      <status>unmodified</status>
      <modifiedWord/>
      <trackRevisions>false</trackRevisions>
    </reviewItem>
    <reviewItem>
      <errorID>aa8639d4-2753-4ac0-946c-6c2c343f3055</errorID>
      <errorWord>，并</errorWord>
      <group>L1_Word</group>
      <groupName>字词问题</groupName>
      <ability>L2_Typo</ability>
      <abilityName>字词错误</abilityName>
      <candidateList>
        <item>，</item>
      </candidateList>
      <explain/>
      <paraID>5468304A</paraID>
      <start>34</start>
      <end>36</end>
      <status>unmodified</status>
      <modifiedWord/>
      <trackRevisions>false</trackRevisions>
    </reviewItem>
    <reviewItem>
      <errorID>6d1f1244-370e-40d7-bedb-d60e19938520</errorID>
      <errorWord>，</errorWord>
      <group>L1_Word</group>
      <groupName>字词问题</groupName>
      <ability>L2_Typo</ability>
      <abilityName>字词错误</abilityName>
      <candidateList>
        <item>使</item>
      </candidateList>
      <explain/>
      <paraID>5468304A</paraID>
      <start>42</start>
      <end>43</end>
      <status>unmodified</status>
      <modifiedWord/>
      <trackRevisions>false</trackRevisions>
    </reviewItem>
    <reviewItem>
      <errorID>6bce1a34-dcdf-4dc4-9879-469ed185e524</errorID>
      <errorWord>，</errorWord>
      <group>L1_Punc</group>
      <groupName>标点问题</groupName>
      <ability>L2_Punc_CN</ability>
      <abilityName>标点符号问题</abilityName>
      <candidateList>
        <item>。</item>
      </candidateList>
      <explain/>
      <paraID>31C0C0E2</paraID>
      <start>44</start>
      <end>45</end>
      <status>unmodified</status>
      <modifiedWord/>
      <trackRevisions>false</trackRevisions>
    </reviewItem>
    <reviewItem>
      <errorID>5420d48b-d244-442b-807e-351becfa69d6</errorID>
      <errorWord>并</errorWord>
      <group>L1_Punc</group>
      <groupName>标点问题</groupName>
      <ability>L2_Punc_CN</ability>
      <abilityName>标点符号问题</abilityName>
      <candidateList>
        <item>，并</item>
      </candidateList>
      <explain/>
      <paraID>31C0C0E2</paraID>
      <start>76</start>
      <end>77</end>
      <status>unmodified</status>
      <modifiedWord/>
      <trackRevisions>false</trackRevisions>
    </reviewItem>
    <reviewItem>
      <errorID>d5342ad9-5957-4043-aaf4-0e1da6452ed7</errorID>
      <errorWord>中</errorWord>
      <group>L1_Word</group>
      <groupName>字词问题</groupName>
      <ability>L2_Typo</ability>
      <abilityName>字词错误</abilityName>
      <candidateList>
        <item>，</item>
      </candidateList>
      <explain/>
      <paraID>476BA00B</paraID>
      <start>36</start>
      <end>37</end>
      <status>unmodified</status>
      <modifiedWord/>
      <trackRevisions>false</trackRevisions>
    </reviewItem>
    <reviewItem>
      <errorID>40c346f7-bd00-4ea6-a61f-2eb24e58c0ec</errorID>
      <errorWord>，</errorWord>
      <group>L1_Punc</group>
      <groupName>标点问题</groupName>
      <ability>L2_Punc_CN</ability>
      <abilityName>标点符号问题</abilityName>
      <candidateList>
        <item>。</item>
      </candidateList>
      <explain/>
      <paraID>476BA00B</paraID>
      <start>66</start>
      <end>67</end>
      <status>unmodified</status>
      <modifiedWord/>
      <trackRevisions>false</trackRevisions>
    </reviewItem>
    <reviewItem>
      <errorID>89ff2a6d-83b1-4af7-b14e-5592fd65b7a7</errorID>
      <errorWord>）左右</errorWord>
      <group>L1_Grammar</group>
      <groupName>语法问题</groupName>
      <ability>L2_Grammar</ability>
      <abilityName>语法错误</abilityName>
      <candidateList>
        <item>）</item>
      </candidateList>
      <explain/>
      <paraID>476BA00B</paraID>
      <start>123</start>
      <end>126</end>
      <status>unmodified</status>
      <modifiedWord/>
      <trackRevisions>false</trackRevisions>
    </reviewItem>
    <reviewItem>
      <errorID>155e10bf-384b-4a4a-b22d-6d0624637150</errorID>
      <errorWord>噪声到</errorWord>
      <group>L1_Word</group>
      <groupName>字词问题</groupName>
      <ability>L2_Typo</ability>
      <abilityName>字词错误</abilityName>
      <candidateList>
        <item>，得到</item>
      </candidateList>
      <explain/>
      <paraID>31D03CD7</paraID>
      <start>44</start>
      <end>47</end>
      <status>unmodified</status>
      <modifiedWord/>
      <trackRevisions>false</trackRevisions>
    </reviewItem>
    <reviewItem>
      <errorID>14640651-e8a5-4fe4-9817-fbbc76cac4d2</errorID>
      <errorWord>计算</errorWord>
      <group>L1_Word</group>
      <groupName>字词问题</groupName>
      <ability>L2_Typo</ability>
      <abilityName>字词错误</abilityName>
      <candidateList>
        <item>进行</item>
      </candidateList>
      <explain/>
      <paraID> F0AE8FE</paraID>
      <start>9</start>
      <end>11</end>
      <status>unmodified</status>
      <modifiedWord/>
      <trackRevisions>false</trackRevisions>
    </reviewItem>
    <reviewItem>
      <errorID>bccb370c-3675-4307-a0b7-e4d0a51d952b</errorID>
      <errorWord>dB</errorWord>
      <group>L1_Punc</group>
      <groupName>标点问题</groupName>
      <ability>L2_Punc_CN</ability>
      <abilityName>标点符号问题</abilityName>
      <candidateList>
        <item>，dB</item>
      </candidateList>
      <explain/>
      <paraID>1B88CABC</paraID>
      <start>13</start>
      <end>15</end>
      <status>unmodified</status>
      <modifiedWord/>
      <trackRevisions>false</trackRevisions>
    </reviewItem>
    <reviewItem>
      <errorID>43bd8892-494f-4843-a5fa-e8071ac602ea</errorID>
      <errorWord>)</errorWord>
      <group>L1_Format</group>
      <groupName>格式问题</groupName>
      <ability>L2_HalfPunc_CN</ability>
      <abilityName>全半角问题</abilityName>
      <candidateList>
        <item>）</item>
      </candidateList>
      <explain>文本全半角错误。</explain>
      <paraID>1B88CABC</paraID>
      <start>17</start>
      <end>18</end>
      <status>unmodified</status>
      <modifiedWord/>
      <trackRevisions>false</trackRevisions>
    </reviewItem>
    <reviewItem>
      <errorID>fd823aeb-6de5-4def-ac2b-e23242d42a15</errorID>
      <errorWord>)</errorWord>
      <group>L1_Format</group>
      <groupName>格式问题</groupName>
      <ability>L2_HalfPunc_CN</ability>
      <abilityName>全半角问题</abilityName>
      <candidateList>
        <item>）</item>
      </candidateList>
      <explain>文本全半角错误。</explain>
      <paraID>739AB297</paraID>
      <start>14</start>
      <end>15</end>
      <status>unmodified</status>
      <modifiedWord/>
      <trackRevisions>false</trackRevisions>
    </reviewItem>
    <reviewItem>
      <errorID>1b6163cf-549d-400f-b8c8-c05800b7b3a1</errorID>
      <errorWord>dB</errorWord>
      <group>L1_Punc</group>
      <groupName>标点问题</groupName>
      <ability>L2_Punc_CN</ability>
      <abilityName>标点符号问题</abilityName>
      <candidateList>
        <item>，dB</item>
      </candidateList>
      <explain/>
      <paraID>59F3D14B</paraID>
      <start>13</start>
      <end>15</end>
      <status>unmodified</status>
      <modifiedWord/>
      <trackRevisions>false</trackRevisions>
    </reviewItem>
    <reviewItem>
      <errorID>b62125fd-af77-4f55-86f3-0b958b42320d</errorID>
      <errorWord>)</errorWord>
      <group>L1_Format</group>
      <groupName>格式问题</groupName>
      <ability>L2_HalfPunc_CN</ability>
      <abilityName>全半角问题</abilityName>
      <candidateList>
        <item>）</item>
      </candidateList>
      <explain>文本全半角错误。</explain>
      <paraID>59F3D14B</paraID>
      <start>17</start>
      <end>18</end>
      <status>unmodified</status>
      <modifiedWord/>
      <trackRevisions>false</trackRevisions>
    </reviewItem>
    <reviewItem>
      <errorID>7574226a-4dad-4e75-8766-37249912b505</errorID>
      <errorWord>)</errorWord>
      <group>L1_Format</group>
      <groupName>格式问题</groupName>
      <ability>L2_HalfPunc_CN</ability>
      <abilityName>全半角问题</abilityName>
      <candidateList>
        <item>）</item>
      </candidateList>
      <explain>文本全半角错误。</explain>
      <paraID>41366433</paraID>
      <start>13</start>
      <end>14</end>
      <status>unmodified</status>
      <modifiedWord/>
      <trackRevisions>false</trackRevisions>
    </reviewItem>
    <reviewItem>
      <errorID>b3e5c317-1d52-4921-87e4-a96da2014215</errorID>
      <errorWord>本</errorWord>
      <group>L1_Word</group>
      <groupName>字词问题</groupName>
      <ability>L2_Typo</ability>
      <abilityName>字词错误</abilityName>
      <candidateList>
        <item> 本</item>
      </candidateList>
      <explain/>
      <paraID>1BE85311</paraID>
      <start>4</start>
      <end>5</end>
      <status>unmodified</status>
      <modifiedWord/>
      <trackRevisions>false</trackRevisions>
    </reviewItem>
    <reviewItem>
      <errorID>0f9f40b7-7db4-4088-a01c-90dff87b3a48</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42C9B51E</paraID>
      <start>46</start>
      <end>50</end>
      <status>unmodified</status>
      <modifiedWord/>
      <trackRevisions>false</trackRevisions>
    </reviewItem>
    <reviewItem>
      <errorID>32ca3be4-e105-40f3-a059-e7b85165db28</errorID>
      <errorWord>《排污许可管理办法》（试行）</errorWord>
      <group>L1_Knowledge</group>
      <groupName>知识性问题</groupName>
      <ability>L2_Knowledge</ability>
      <abilityName>其他知识</abilityName>
      <candidateList>
        <item>《排污许可管理办法（试行）》</item>
      </candidateList>
      <explain>疑似政策文件、法律法规名称等书写不规范，请注意检查。</explain>
      <paraID>1F3E1439</paraID>
      <start>4</start>
      <end>18</end>
      <status>unmodified</status>
      <modifiedWord/>
      <trackRevisions>false</trackRevisions>
    </reviewItem>
    <reviewItem>
      <errorID>c83bd5b5-fba8-48b5-86df-fa86c4442ce0</errorID>
      <errorWord>，</errorWord>
      <group>L1_Word</group>
      <groupName>字词问题</groupName>
      <ability>L2_Typo</ability>
      <abilityName>字词错误</abilityName>
      <candidateList>
        <item>，在</item>
      </candidateList>
      <explain/>
      <paraID>1F3E1439</paraID>
      <start>276</start>
      <end>277</end>
      <status>unmodified</status>
      <modifiedWord/>
      <trackRevisions>false</trackRevisions>
    </reviewItem>
    <reviewItem>
      <errorID>4efd5ada-6b2c-42d2-8f53-a0de839e8dab</errorID>
      <errorWord>(</errorWord>
      <group>L1_Format</group>
      <groupName>格式问题</groupName>
      <ability>L2_HalfPunc_CN</ability>
      <abilityName>全半角问题</abilityName>
      <candidateList>
        <item>（</item>
      </candidateList>
      <explain>文本全半角错误。</explain>
      <paraID>3FDE51F1</paraID>
      <start>18</start>
      <end>19</end>
      <status>unmodified</status>
      <modifiedWord/>
      <trackRevisions>false</trackRevisions>
    </reviewItem>
    <reviewItem>
      <errorID>c2845d6a-49a3-4b5a-aa79-6943db5f922f</errorID>
      <errorWord>)</errorWord>
      <group>L1_Format</group>
      <groupName>格式问题</groupName>
      <ability>L2_HalfPunc_CN</ability>
      <abilityName>全半角问题</abilityName>
      <candidateList>
        <item>）</item>
      </candidateList>
      <explain>文本全半角错误。</explain>
      <paraID>3FDE51F1</paraID>
      <start>31</start>
      <end>32</end>
      <status>unmodified</status>
      <modifiedWord/>
      <trackRevisions>false</trackRevisions>
    </reviewItem>
    <reviewItem>
      <errorID>4c86c92d-4c3c-4cc3-8e3f-c77fb5d24deb</errorID>
      <errorWord>(</errorWord>
      <group>L1_Format</group>
      <groupName>格式问题</groupName>
      <ability>L2_HalfPunc_CN</ability>
      <abilityName>全半角问题</abilityName>
      <candidateList>
        <item>（</item>
      </candidateList>
      <explain>文本全半角错误。</explain>
      <paraID>3FD8D36F</paraID>
      <start>19</start>
      <end>20</end>
      <status>unmodified</status>
      <modifiedWord/>
      <trackRevisions>false</trackRevisions>
    </reviewItem>
    <reviewItem>
      <errorID>22eeaa87-4c07-48c9-98f6-77a5301eaa05</errorID>
      <errorWord>)</errorWord>
      <group>L1_Format</group>
      <groupName>格式问题</groupName>
      <ability>L2_HalfPunc_CN</ability>
      <abilityName>全半角问题</abilityName>
      <candidateList>
        <item>）</item>
      </candidateList>
      <explain>文本全半角错误。</explain>
      <paraID>3FD8D36F</paraID>
      <start>35</start>
      <end>36</end>
      <status>unmodified</status>
      <modifiedWord/>
      <trackRevisions>false</trackRevisions>
    </reviewItem>
    <reviewItem>
      <errorID>8743192d-a1a3-40d1-9b1e-f20746bc1bc9</errorID>
      <errorWord>(</errorWord>
      <group>L1_Format</group>
      <groupName>格式问题</groupName>
      <ability>L2_HalfPunc_CN</ability>
      <abilityName>全半角问题</abilityName>
      <candidateList>
        <item>（</item>
      </candidateList>
      <explain>文本全半角错误。</explain>
      <paraID>4EA6027E</paraID>
      <start>17</start>
      <end>18</end>
      <status>unmodified</status>
      <modifiedWord/>
      <trackRevisions>false</trackRevisions>
    </reviewItem>
    <reviewItem>
      <errorID>f50481c1-39f9-4f8c-a6ee-4244dc184b13</errorID>
      <errorWord>)</errorWord>
      <group>L1_Format</group>
      <groupName>格式问题</groupName>
      <ability>L2_HalfPunc_CN</ability>
      <abilityName>全半角问题</abilityName>
      <candidateList>
        <item>）</item>
      </candidateList>
      <explain>文本全半角错误。</explain>
      <paraID>4EA6027E</paraID>
      <start>27</start>
      <end>28</end>
      <status>unmodified</status>
      <modifiedWord/>
      <trackRevisions>false</trackRevisions>
    </reviewItem>
    <reviewItem>
      <errorID>268a35c5-b226-4eae-b01c-9bc8c3b86413</errorID>
      <errorWord>[2005]39号</errorWord>
      <group>L1_Knowledge</group>
      <groupName>知识性问题</groupName>
      <ability>L2_Knowledge</ability>
      <abilityName>其他知识</abilityName>
      <candidateList>
        <item>〔2005〕39号</item>
      </candidateList>
      <explain>发文字号格式错误。</explain>
      <paraID>6B8DFCD0</paraID>
      <start>6</start>
      <end>15</end>
      <status>unmodified</status>
      <modifiedWord/>
      <trackRevisions>false</trackRevisions>
    </reviewItem>
    <reviewItem>
      <errorID>6c8f9cf1-52dc-49cd-bfc1-e6cdb5f25274</errorID>
      <errorWord>[2000]38号</errorWord>
      <group>L1_Knowledge</group>
      <groupName>知识性问题</groupName>
      <ability>L2_Knowledge</ability>
      <abilityName>其他知识</abilityName>
      <candidateList>
        <item>〔2000〕38号</item>
      </candidateList>
      <explain>发文字号格式错误。</explain>
      <paraID>25F56A52</paraID>
      <start>6</start>
      <end>15</end>
      <status>unmodified</status>
      <modifiedWord/>
      <trackRevisions>false</trackRevisions>
    </reviewItem>
    <reviewItem>
      <errorID>c8b87586-8a58-4a77-b201-aeb0b9f536c3</errorID>
      <errorWord>[2013]37号</errorWord>
      <group>L1_Knowledge</group>
      <groupName>知识性问题</groupName>
      <ability>L2_Knowledge</ability>
      <abilityName>其他知识</abilityName>
      <candidateList>
        <item>〔2013〕37号</item>
      </candidateList>
      <explain>发文字号格式错误。</explain>
      <paraID>647BB985</paraID>
      <start>6</start>
      <end>15</end>
      <status>unmodified</status>
      <modifiedWord/>
      <trackRevisions>false</trackRevisions>
    </reviewItem>
    <reviewItem>
      <errorID>524939e4-b6e4-4fb3-a5d4-48eee6410f05</errorID>
      <errorWord>[2015]17号</errorWord>
      <group>L1_Knowledge</group>
      <groupName>知识性问题</groupName>
      <ability>L2_Knowledge</ability>
      <abilityName>其他知识</abilityName>
      <candidateList>
        <item>〔2015〕17号</item>
      </candidateList>
      <explain>发文字号格式错误。</explain>
      <paraID>727BEECA</paraID>
      <start>6</start>
      <end>15</end>
      <status>unmodified</status>
      <modifiedWord/>
      <trackRevisions>false</trackRevisions>
    </reviewItem>
    <reviewItem>
      <errorID>0d9338fb-f34f-4210-bc28-64543a5c003b</errorID>
      <errorWord>[1999]</errorWord>
      <group>L1_Punc</group>
      <groupName>标点问题</groupName>
      <ability>L2_Punc_CN</ability>
      <abilityName>标点符号问题</abilityName>
      <candidateList>
        <item>〔1999〕</item>
      </candidateList>
      <explain/>
      <paraID>2EB8FBDA</paraID>
      <start>23</start>
      <end>29</end>
      <status>unmodified</status>
      <modifiedWord/>
      <trackRevisions>false</trackRevisions>
    </reviewItem>
    <reviewItem>
      <errorID>bac36f8a-beff-4c97-ae8a-c10d8619e796</errorID>
      <errorWord>(</errorWord>
      <group>L1_Format</group>
      <groupName>格式问题</groupName>
      <ability>L2_HalfPunc_CN</ability>
      <abilityName>全半角问题</abilityName>
      <candidateList>
        <item>（</item>
      </candidateList>
      <explain>文本全半角错误。</explain>
      <paraID>681DE925</paraID>
      <start>3</start>
      <end>4</end>
      <status>unmodified</status>
      <modifiedWord/>
      <trackRevisions>false</trackRevisions>
    </reviewItem>
    <reviewItem>
      <errorID>67858704-7c41-41f7-9bd7-c659205da9d8</errorID>
      <errorWord>)</errorWord>
      <group>L1_Format</group>
      <groupName>格式问题</groupName>
      <ability>L2_HalfPunc_CN</ability>
      <abilityName>全半角问题</abilityName>
      <candidateList>
        <item>）</item>
      </candidateList>
      <explain>文本全半角错误。</explain>
      <paraID>681DE925</paraID>
      <start>5</start>
      <end>6</end>
      <status>unmodified</status>
      <modifiedWord/>
      <trackRevisions>false</trackRevisions>
    </reviewItem>
    <reviewItem>
      <errorID>97ce7b6d-fe68-4010-80f2-16bc3b8662dd</errorID>
      <errorWord>(</errorWord>
      <group>L1_Format</group>
      <groupName>格式问题</groupName>
      <ability>L2_HalfPunc_CN</ability>
      <abilityName>全半角问题</abilityName>
      <candidateList>
        <item>（</item>
      </candidateList>
      <explain>文本全半角错误。</explain>
      <paraID>524ACB1C</paraID>
      <start>4</start>
      <end>5</end>
      <status>unmodified</status>
      <modifiedWord/>
      <trackRevisions>false</trackRevisions>
    </reviewItem>
    <reviewItem>
      <errorID>0c8e3716-751e-405f-b718-9799598e2ccd</errorID>
      <errorWord>)</errorWord>
      <group>L1_Format</group>
      <groupName>格式问题</groupName>
      <ability>L2_HalfPunc_CN</ability>
      <abilityName>全半角问题</abilityName>
      <candidateList>
        <item>）</item>
      </candidateList>
      <explain>文本全半角错误。</explain>
      <paraID>524ACB1C</paraID>
      <start>8</start>
      <end>9</end>
      <status>unmodified</status>
      <modifiedWord/>
      <trackRevisions>false</trackRevisions>
    </reviewItem>
    <reviewItem>
      <errorID>2415ba45-ddd1-4354-ba3e-67a9ed730a0e</errorID>
      <errorWord>(</errorWord>
      <group>L1_Format</group>
      <groupName>格式问题</groupName>
      <ability>L2_HalfPunc_CN</ability>
      <abilityName>全半角问题</abilityName>
      <candidateList>
        <item>（</item>
      </candidateList>
      <explain>文本全半角错误。</explain>
      <paraID>69EFBE60</paraID>
      <start>2</start>
      <end>3</end>
      <status>unmodified</status>
      <modifiedWord/>
      <trackRevisions>false</trackRevisions>
    </reviewItem>
    <reviewItem>
      <errorID>86ac0b4f-7249-4d90-86d8-1d5986a5c159</errorID>
      <errorWord>)</errorWord>
      <group>L1_Format</group>
      <groupName>格式问题</groupName>
      <ability>L2_HalfPunc_CN</ability>
      <abilityName>全半角问题</abilityName>
      <candidateList>
        <item>）</item>
      </candidateList>
      <explain>文本全半角错误。</explain>
      <paraID>69EFBE60</paraID>
      <start>4</start>
      <end>5</end>
      <status>unmodified</status>
      <modifiedWord/>
      <trackRevisions>false</trackRevisions>
    </reviewItem>
    <reviewItem>
      <errorID>44fa7b1b-4ff3-4bec-82a9-2e1337687029</errorID>
      <errorWord>(</errorWord>
      <group>L1_Format</group>
      <groupName>格式问题</groupName>
      <ability>L2_HalfPunc_CN</ability>
      <abilityName>全半角问题</abilityName>
      <candidateList>
        <item>（</item>
      </candidateList>
      <explain>文本全半角错误。</explain>
      <paraID>69EFBE60</paraID>
      <start>11</start>
      <end>12</end>
      <status>unmodified</status>
      <modifiedWord/>
      <trackRevisions>false</trackRevisions>
    </reviewItem>
    <reviewItem>
      <errorID>4de25899-e5a2-420b-9cb6-67d419786012</errorID>
      <errorWord>)</errorWord>
      <group>L1_Format</group>
      <groupName>格式问题</groupName>
      <ability>L2_HalfPunc_CN</ability>
      <abilityName>全半角问题</abilityName>
      <candidateList>
        <item>）</item>
      </candidateList>
      <explain>文本全半角错误。</explain>
      <paraID>69EFBE60</paraID>
      <start>13</start>
      <end>14</end>
      <status>unmodified</status>
      <modifiedWord/>
      <trackRevisions>false</trackRevisions>
    </reviewItem>
    <reviewItem>
      <errorID>6fd332b5-6b24-4e52-8523-12332fc51066</errorID>
      <errorWord>(</errorWord>
      <group>L1_Format</group>
      <groupName>格式问题</groupName>
      <ability>L2_HalfPunc_CN</ability>
      <abilityName>全半角问题</abilityName>
      <candidateList>
        <item>（</item>
      </candidateList>
      <explain>文本全半角错误。</explain>
      <paraID>5CC20554</paraID>
      <start>18</start>
      <end>19</end>
      <status>unmodified</status>
      <modifiedWord/>
      <trackRevisions>false</trackRevisions>
    </reviewItem>
    <reviewItem>
      <errorID>b16a6050-6985-4673-b92e-919a380b3ec3</errorID>
      <errorWord>)</errorWord>
      <group>L1_Format</group>
      <groupName>格式问题</groupName>
      <ability>L2_HalfPunc_CN</ability>
      <abilityName>全半角问题</abilityName>
      <candidateList>
        <item>）</item>
      </candidateList>
      <explain>文本全半角错误。</explain>
      <paraID>5CC20554</paraID>
      <start>20</start>
      <end>21</end>
      <status>unmodified</status>
      <modifiedWord/>
      <trackRevisions>false</trackRevisions>
    </reviewItem>
    <reviewItem>
      <errorID>c426731b-9c43-4668-a543-537c8dd828bc</errorID>
      <errorWord>(</errorWord>
      <group>L1_Format</group>
      <groupName>格式问题</groupName>
      <ability>L2_HalfPunc_CN</ability>
      <abilityName>全半角问题</abilityName>
      <candidateList>
        <item>（</item>
      </candidateList>
      <explain>文本全半角错误。</explain>
      <paraID>10EF4085</paraID>
      <start>15</start>
      <end>16</end>
      <status>unmodified</status>
      <modifiedWord/>
      <trackRevisions>false</trackRevisions>
    </reviewItem>
    <reviewItem>
      <errorID>af4b49e5-4c4f-4669-9807-0ffe20028c82</errorID>
      <errorWord>)</errorWord>
      <group>L1_Format</group>
      <groupName>格式问题</groupName>
      <ability>L2_HalfPunc_CN</ability>
      <abilityName>全半角问题</abilityName>
      <candidateList>
        <item>）</item>
      </candidateList>
      <explain>文本全半角错误。</explain>
      <paraID>10EF4085</paraID>
      <start>17</start>
      <end>18</end>
      <status>unmodified</status>
      <modifiedWord/>
      <trackRevisions>false</trackRevisions>
    </reviewItem>
    <reviewItem>
      <errorID>72dc3a00-35b8-4653-8989-89b183629c2a</errorID>
      <errorWord>(</errorWord>
      <group>L1_Format</group>
      <groupName>格式问题</groupName>
      <ability>L2_HalfPunc_CN</ability>
      <abilityName>全半角问题</abilityName>
      <candidateList>
        <item>（</item>
      </candidateList>
      <explain>文本全半角错误。</explain>
      <paraID>75566455</paraID>
      <start>4</start>
      <end>5</end>
      <status>unmodified</status>
      <modifiedWord/>
      <trackRevisions>false</trackRevisions>
    </reviewItem>
    <reviewItem>
      <errorID>f65abebe-cb75-4d57-acbe-9fa5b3a06332</errorID>
      <errorWord>)</errorWord>
      <group>L1_Format</group>
      <groupName>格式问题</groupName>
      <ability>L2_HalfPunc_CN</ability>
      <abilityName>全半角问题</abilityName>
      <candidateList>
        <item>）</item>
      </candidateList>
      <explain>文本全半角错误。</explain>
      <paraID>75566455</paraID>
      <start>6</start>
      <end>7</end>
      <status>unmodified</status>
      <modifiedWord/>
      <trackRevisions>false</trackRevisions>
    </reviewItem>
    <reviewItem>
      <errorID>33cf603d-9715-4f61-965f-bd9d14512849</errorID>
      <errorWord>：/，</errorWord>
      <group>L1_Punc</group>
      <groupName>标点问题</groupName>
      <ability>L2_Punc_CN</ability>
      <abilityName>标点符号问题</abilityName>
      <candidateList>
        <item>：</item>
      </candidateList>
      <explain/>
      <paraID>6EF7F553</paraID>
      <start>3</start>
      <end>6</end>
      <status>unmodified</status>
      <modifiedWord/>
      <trackRevisions>false</trackRevisions>
    </reviewItem>
    <reviewItem>
      <errorID>7ca976b1-078e-4c04-b5a4-536f96364327</errorID>
      <errorWord>：/</errorWord>
      <group>L1_Punc</group>
      <groupName>标点问题</groupName>
      <ability>L2_Punc_CN</ability>
      <abilityName>标点符号问题</abilityName>
      <candidateList>
        <item>：</item>
      </candidateList>
      <explain/>
      <paraID>6EF7F553</paraID>
      <start>10</start>
      <end>12</end>
      <status>unmodified</status>
      <modifiedWord/>
      <trackRevisions>false</trackRevisions>
    </reviewItem>
    <reviewItem>
      <errorID>53374d94-3c77-45f1-9172-66b805a6dccd</errorID>
      <errorWord>具</errorWord>
      <group>L1_Word</group>
      <groupName>字词问题</groupName>
      <ability>L2_Typo</ability>
      <abilityName>字词错误</abilityName>
      <candidateList>
        <item>具有</item>
      </candidateList>
      <explain/>
      <paraID>  61C0B6</paraID>
      <start>11</start>
      <end>12</end>
      <status>unmodified</status>
      <modifiedWord/>
      <trackRevisions>false</trackRevisions>
    </reviewItem>
    <reviewItem>
      <errorID>434eec13-5e44-468d-911d-e38116e8daed</errorID>
      <errorWord>(</errorWord>
      <group>L1_Format</group>
      <groupName>格式问题</groupName>
      <ability>L2_HalfPunc_CN</ability>
      <abilityName>全半角问题</abilityName>
      <candidateList>
        <item>（</item>
      </candidateList>
      <explain>文本全半角错误。</explain>
      <paraID> 8A4C09D</paraID>
      <start>26</start>
      <end>27</end>
      <status>unmodified</status>
      <modifiedWord/>
      <trackRevisions>false</trackRevisions>
    </reviewItem>
    <reviewItem>
      <errorID>d5a30e1a-de59-4ea8-8dc1-3fd283295af2</errorID>
      <errorWord>)</errorWord>
      <group>L1_Format</group>
      <groupName>格式问题</groupName>
      <ability>L2_HalfPunc_CN</ability>
      <abilityName>全半角问题</abilityName>
      <candidateList>
        <item>）</item>
      </candidateList>
      <explain>文本全半角错误。</explain>
      <paraID> 8A4C09D</paraID>
      <start>30</start>
      <end>31</end>
      <status>unmodified</status>
      <modifiedWord/>
      <trackRevisions>false</trackRevisions>
    </reviewItem>
    <reviewItem>
      <errorID>09161b56-a429-4576-9ca4-818ed7833a33</errorID>
      <errorWord>(</errorWord>
      <group>L1_Format</group>
      <groupName>格式问题</groupName>
      <ability>L2_HalfPunc_CN</ability>
      <abilityName>全半角问题</abilityName>
      <candidateList>
        <item>（</item>
      </candidateList>
      <explain>文本全半角错误。</explain>
      <paraID>5E0B01E0</paraID>
      <start>65</start>
      <end>66</end>
      <status>unmodified</status>
      <modifiedWord/>
      <trackRevisions>false</trackRevisions>
    </reviewItem>
    <reviewItem>
      <errorID>c043adbf-ffb3-41e9-bdb6-af7f1847cba4</errorID>
      <errorWord>)</errorWord>
      <group>L1_Format</group>
      <groupName>格式问题</groupName>
      <ability>L2_HalfPunc_CN</ability>
      <abilityName>全半角问题</abilityName>
      <candidateList>
        <item>）</item>
      </candidateList>
      <explain>文本全半角错误。</explain>
      <paraID>5E0B01E0</paraID>
      <start>67</start>
      <end>68</end>
      <status>unmodified</status>
      <modifiedWord/>
      <trackRevisions>false</trackRevisions>
    </reviewItem>
    <reviewItem>
      <errorID>ca8999c5-5c4d-4ff7-842d-21e9fd6c9ff7</errorID>
      <errorWord>(</errorWord>
      <group>L1_Format</group>
      <groupName>格式问题</groupName>
      <ability>L2_HalfPunc_CN</ability>
      <abilityName>全半角问题</abilityName>
      <candidateList>
        <item>（</item>
      </candidateList>
      <explain>文本全半角错误。</explain>
      <paraID>5E0B01E0</paraID>
      <start>80</start>
      <end>81</end>
      <status>unmodified</status>
      <modifiedWord/>
      <trackRevisions>false</trackRevisions>
    </reviewItem>
    <reviewItem>
      <errorID>e225c0a2-fef5-4a36-b35e-01af2d941bbf</errorID>
      <errorWord>)</errorWord>
      <group>L1_Format</group>
      <groupName>格式问题</groupName>
      <ability>L2_HalfPunc_CN</ability>
      <abilityName>全半角问题</abilityName>
      <candidateList>
        <item>）</item>
      </candidateList>
      <explain>文本全半角错误。</explain>
      <paraID>5E0B01E0</paraID>
      <start>82</start>
      <end>83</end>
      <status>unmodified</status>
      <modifiedWord/>
      <trackRevisions>false</trackRevisions>
    </reviewItem>
    <reviewItem>
      <errorID>b173cdb4-8360-42c4-9d62-ab6f75c6d2c9</errorID>
      <errorWord>(</errorWord>
      <group>L1_Format</group>
      <groupName>格式问题</groupName>
      <ability>L2_HalfPunc_CN</ability>
      <abilityName>全半角问题</abilityName>
      <candidateList>
        <item>（</item>
      </candidateList>
      <explain>文本全半角错误。</explain>
      <paraID>5E0B01E0</paraID>
      <start>101</start>
      <end>102</end>
      <status>unmodified</status>
      <modifiedWord/>
      <trackRevisions>false</trackRevisions>
    </reviewItem>
    <reviewItem>
      <errorID>c8d0ac61-d7d1-4018-9cdf-44b2a017b5f2</errorID>
      <errorWord>)</errorWord>
      <group>L1_Format</group>
      <groupName>格式问题</groupName>
      <ability>L2_HalfPunc_CN</ability>
      <abilityName>全半角问题</abilityName>
      <candidateList>
        <item>）</item>
      </candidateList>
      <explain>文本全半角错误。</explain>
      <paraID>5E0B01E0</paraID>
      <start>103</start>
      <end>104</end>
      <status>unmodified</status>
      <modifiedWord/>
      <trackRevisions>false</trackRevisions>
    </reviewItem>
    <reviewItem>
      <errorID>e71cf0b9-8427-4e92-9ef4-342994f97b71</errorID>
      <errorWord>)</errorWord>
      <group>L1_Format</group>
      <groupName>格式问题</groupName>
      <ability>L2_HalfPunc_CN</ability>
      <abilityName>全半角问题</abilityName>
      <candidateList>
        <item>）</item>
      </candidateList>
      <explain>文本全半角错误。</explain>
      <paraID>39C18BEC</paraID>
      <start>34</start>
      <end>35</end>
      <status>unmodified</status>
      <modifiedWord/>
      <trackRevisions>false</trackRevisions>
    </reviewItem>
    <reviewItem>
      <errorID>6289f196-3388-410c-ab59-fb0afa04f00d</errorID>
      <errorWord>-</errorWord>
      <group>L1_Format</group>
      <groupName>格式问题</groupName>
      <ability>L2_HalfPunc_CN</ability>
      <abilityName>全半角问题</abilityName>
      <candidateList>
        <item>－</item>
      </candidateList>
      <explain>文本全半角错误。</explain>
      <paraID>53B95FC4</paraID>
      <start>13</start>
      <end>14</end>
      <status>unmodified</status>
      <modifiedWord/>
      <trackRevisions>false</trackRevisions>
    </reviewItem>
    <reviewItem>
      <errorID>a80d469b-7ce6-4a07-be51-cfbbea0801dd</errorID>
      <errorWord>-</errorWord>
      <group>L1_Format</group>
      <groupName>格式问题</groupName>
      <ability>L2_HalfPunc_CN</ability>
      <abilityName>全半角问题</abilityName>
      <candidateList>
        <item>－</item>
      </candidateList>
      <explain>文本全半角错误。</explain>
      <paraID>5AE6DAE5</paraID>
      <start>10</start>
      <end>11</end>
      <status>unmodified</status>
      <modifiedWord/>
      <trackRevisions>false</trackRevisions>
    </reviewItem>
    <reviewItem>
      <errorID>e09633b0-5d31-4774-9150-711dc50501ba</errorID>
      <errorWord>（</errorWord>
      <group>L1_Format</group>
      <groupName>格式问题</groupName>
      <ability>L2_HalfPunc_CN</ability>
      <abilityName>全半角问题</abilityName>
      <candidateList>
        <item>(</item>
      </candidateList>
      <explain>文本全半角错误。</explain>
      <paraID>4E73BFC2</paraID>
      <start>0</start>
      <end>1</end>
      <status>unmodified</status>
      <modifiedWord/>
      <trackRevisions>false</trackRevisions>
    </reviewItem>
    <reviewItem>
      <errorID>ce305fe2-9722-4125-ba28-d9deb3bd5e3c</errorID>
      <errorWord>）</errorWord>
      <group>L1_Format</group>
      <groupName>格式问题</groupName>
      <ability>L2_HalfPunc_CN</ability>
      <abilityName>全半角问题</abilityName>
      <candidateList>
        <item>)</item>
      </candidateList>
      <explain>文本全半角错误。</explain>
      <paraID>4E73BFC2</paraID>
      <start>2</start>
      <end>3</end>
      <status>unmodified</status>
      <modifiedWord/>
      <trackRevisions>false</trackRevisions>
    </reviewItem>
    <reviewItem>
      <errorID>57fd142c-c7db-4f5c-a241-363b20a51ec7</errorID>
      <errorWord>(</errorWord>
      <group>L1_Format</group>
      <groupName>格式问题</groupName>
      <ability>L2_HalfPunc_CN</ability>
      <abilityName>全半角问题</abilityName>
      <candidateList>
        <item>（</item>
      </candidateList>
      <explain>文本全半角错误。</explain>
      <paraID>186071B8</paraID>
      <start>62</start>
      <end>63</end>
      <status>unmodified</status>
      <modifiedWord/>
      <trackRevisions>false</trackRevisions>
    </reviewItem>
    <reviewItem>
      <errorID>020ddedc-6091-4722-820a-6606c28950ee</errorID>
      <errorWord>(</errorWord>
      <group>L1_Format</group>
      <groupName>格式问题</groupName>
      <ability>L2_HalfPunc_CN</ability>
      <abilityName>全半角问题</abilityName>
      <candidateList>
        <item>（</item>
      </candidateList>
      <explain>文本全半角错误。</explain>
      <paraID>186071B8</paraID>
      <start>70</start>
      <end>71</end>
      <status>unmodified</status>
      <modifiedWord/>
      <trackRevisions>false</trackRevisions>
    </reviewItem>
    <reviewItem>
      <errorID>8e9f49b0-5471-4319-bc0d-44ca08770ec1</errorID>
      <errorWord>(</errorWord>
      <group>L1_Format</group>
      <groupName>格式问题</groupName>
      <ability>L2_HalfPunc_CN</ability>
      <abilityName>全半角问题</abilityName>
      <candidateList>
        <item>（</item>
      </candidateList>
      <explain>文本全半角错误。</explain>
      <paraID>186071B8</paraID>
      <start>81</start>
      <end>82</end>
      <status>unmodified</status>
      <modifiedWord/>
      <trackRevisions>false</trackRevisions>
    </reviewItem>
    <reviewItem>
      <errorID>cf4f7d5a-f396-4d6c-9aec-d784e3345768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4DD281B5</paraID>
      <start>0</start>
      <end>2</end>
      <status>unmodified</status>
      <modifiedWord/>
      <trackRevisions>false</trackRevisions>
    </reviewItem>
    <reviewItem>
      <errorID>95dc616a-1cc0-422a-a21d-6a2ed8dabf96</errorID>
      <errorWord>以</errorWord>
      <group>L1_Word</group>
      <groupName>字词问题</groupName>
      <ability>L2_Typo</ability>
      <abilityName>字词错误</abilityName>
      <candidateList>
        <item>以上</item>
      </candidateList>
      <explain/>
      <paraID>23AE0EC6</paraID>
      <start>32</start>
      <end>33</end>
      <status>unmodified</status>
      <modifiedWord/>
      <trackRevisions>false</trackRevisions>
    </reviewItem>
    <reviewItem>
      <errorID>8ff515dd-eb5f-4648-8353-8e2ea4eb8b7c</errorID>
      <errorWord>以</errorWord>
      <group>L1_Word</group>
      <groupName>字词问题</groupName>
      <ability>L2_Typo</ability>
      <abilityName>字词错误</abilityName>
      <candidateList>
        <item>以上</item>
      </candidateList>
      <explain/>
      <paraID>12E0C999</paraID>
      <start>32</start>
      <end>33</end>
      <status>unmodified</status>
      <modifiedWord/>
      <trackRevisions>false</trackRevisions>
    </reviewItem>
    <reviewItem>
      <errorID>23bf3c7a-1322-4fa1-928e-fd14e8be8249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195448E7</paraID>
      <start>0</start>
      <end>2</end>
      <status>unmodified</status>
      <modifiedWord/>
      <trackRevisions>false</trackRevisions>
    </reviewItem>
    <reviewItem>
      <errorID>5e956e0a-9dff-4311-a531-a05dcda2ec78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1C8D7236</paraID>
      <start>14</start>
      <end>15</end>
      <status>unmodified</status>
      <modifiedWord/>
      <trackRevisions>false</trackRevisions>
    </reviewItem>
    <reviewItem>
      <errorID>e617a4d0-e287-47e1-b04b-6f66ad746d3e</errorID>
      <errorWord>*</errorWord>
      <group>L1_Punc</group>
      <groupName>标点问题</groupName>
      <ability>L2_Punc_CN</ability>
      <abilityName>标点符号问题</abilityName>
      <candidateList/>
      <explain/>
      <paraID> 11245CD</paraID>
      <start>0</start>
      <end>1</end>
      <status>unmodified</status>
      <modifiedWord/>
      <trackRevisions>false</trackRevisions>
    </reviewItem>
    <reviewItem>
      <errorID>27aff73f-0347-48fe-9245-d744e887d5ba</errorID>
      <errorWord>其它物质</errorWord>
      <group>L1_Word</group>
      <groupName>字词问题</groupName>
      <ability>L2_Alias</ability>
      <abilityName>也作/曾用词</abilityName>
      <candidateList>
        <item>其他物质</item>
      </candidateList>
      <explain>词汇[其它物质]为不规范表述或旧称，其规范书面表述为[其他物质]。</explain>
      <paraID>4422421C</paraID>
      <start>26</start>
      <end>30</end>
      <status>unmodified</status>
      <modifiedWord/>
      <trackRevisions>false</trackRevisions>
    </reviewItem>
    <reviewItem>
      <errorID>80422e2f-8d6e-4afd-9f03-0eb0d40bc926</errorID>
      <errorWord>(</errorWord>
      <group>L1_Format</group>
      <groupName>格式问题</groupName>
      <ability>L2_HalfPunc_CN</ability>
      <abilityName>全半角问题</abilityName>
      <candidateList>
        <item>（</item>
      </candidateList>
      <explain>文本全半角错误。</explain>
      <paraID>6D142A1C</paraID>
      <start>4</start>
      <end>5</end>
      <status>unmodified</status>
      <modifiedWord/>
      <trackRevisions>false</trackRevisions>
    </reviewItem>
    <reviewItem>
      <errorID>05a75ff2-4954-4d33-a97a-415d21a7bf91</errorID>
      <errorWord>)</errorWord>
      <group>L1_Format</group>
      <groupName>格式问题</groupName>
      <ability>L2_HalfPunc_CN</ability>
      <abilityName>全半角问题</abilityName>
      <candidateList>
        <item>）</item>
      </candidateList>
      <explain>文本全半角错误。</explain>
      <paraID>6D142A1C</paraID>
      <start>8</start>
      <end>9</end>
      <status>unmodified</status>
      <modifiedWord/>
      <trackRevisions>false</trackRevisions>
    </reviewItem>
    <reviewItem>
      <errorID>03e669bc-57bb-45ae-a804-b4b6b36d806f</errorID>
      <errorWord>(</errorWord>
      <group>L1_Format</group>
      <groupName>格式问题</groupName>
      <ability>L2_HalfPunc_CN</ability>
      <abilityName>全半角问题</abilityName>
      <candidateList>
        <item>（</item>
      </candidateList>
      <explain>文本全半角错误。</explain>
      <paraID>14DAC3BF</paraID>
      <start>4</start>
      <end>5</end>
      <status>unmodified</status>
      <modifiedWord/>
      <trackRevisions>false</trackRevisions>
    </reviewItem>
    <reviewItem>
      <errorID>5b162804-8951-46c2-8dd8-daa5b8210943</errorID>
      <errorWord>)</errorWord>
      <group>L1_Format</group>
      <groupName>格式问题</groupName>
      <ability>L2_HalfPunc_CN</ability>
      <abilityName>全半角问题</abilityName>
      <candidateList>
        <item>）</item>
      </candidateList>
      <explain>文本全半角错误。</explain>
      <paraID>14DAC3BF</paraID>
      <start>9</start>
      <end>10</end>
      <status>unmodified</status>
      <modifiedWord/>
      <trackRevisions>false</trackRevisions>
    </reviewItem>
    <reviewItem>
      <errorID>94f6f47a-8526-4f7b-a873-27c456afbedb</errorID>
      <errorWord>(</errorWord>
      <group>L1_Format</group>
      <groupName>格式问题</groupName>
      <ability>L2_HalfPunc_CN</ability>
      <abilityName>全半角问题</abilityName>
      <candidateList>
        <item>（</item>
      </candidateList>
      <explain>文本全半角错误。</explain>
      <paraID>365DCA97</paraID>
      <start>4</start>
      <end>5</end>
      <status>unmodified</status>
      <modifiedWord/>
      <trackRevisions>false</trackRevisions>
    </reviewItem>
    <reviewItem>
      <errorID>5e6ff4d5-a05a-40bd-a8bc-c0cf53cb93e7</errorID>
      <errorWord>)</errorWord>
      <group>L1_Format</group>
      <groupName>格式问题</groupName>
      <ability>L2_HalfPunc_CN</ability>
      <abilityName>全半角问题</abilityName>
      <candidateList>
        <item>）</item>
      </candidateList>
      <explain>文本全半角错误。</explain>
      <paraID>365DCA97</paraID>
      <start>12</start>
      <end>13</end>
      <status>unmodified</status>
      <modifiedWord/>
      <trackRevisions>false</trackRevisions>
    </reviewItem>
    <reviewItem>
      <errorID>575dd0ee-b19e-4a59-b8be-2049e751f41e</errorID>
      <errorWord>见</errorWord>
      <group>L1_Word</group>
      <groupName>字词问题</groupName>
      <ability>L2_Typo</ability>
      <abilityName>字词错误</abilityName>
      <candidateList>
        <item>见下</item>
      </candidateList>
      <explain/>
      <paraID>772009C9</paraID>
      <start>49</start>
      <end>50</end>
      <status>unmodified</status>
      <modifiedWord/>
      <trackRevisions>false</trackRevisions>
    </reviewItem>
    <reviewItem>
      <errorID>f97cfda8-3a92-4925-a482-56fa5f9e99d1</errorID>
      <errorWord>场</errorWord>
      <group>L1_Word</group>
      <groupName>字词问题</groupName>
      <ability>L2_Typo</ability>
      <abilityName>字词错误</abilityName>
      <candidateList>
        <item>厂</item>
      </candidateList>
      <explain>存在发音相同字词的误用。</explain>
      <paraID>5D6C1A51</paraID>
      <start>14</start>
      <end>15</end>
      <status>unmodified</status>
      <modifiedWord/>
      <trackRevisions>false</trackRevisions>
    </reviewItem>
    <reviewItem>
      <errorID>e288dd54-b175-48e7-a860-0da8b467a3f9</errorID>
      <errorWord>、或</errorWord>
      <group>L1_Word</group>
      <groupName>字词问题</groupName>
      <ability>L2_Typo</ability>
      <abilityName>字词错误</abilityName>
      <candidateList>
        <item>或</item>
      </candidateList>
      <explain/>
      <paraID>756C6CB3</paraID>
      <start>33</start>
      <end>35</end>
      <status>unmodified</status>
      <modifiedWord/>
      <trackRevisions>false</trackRevisions>
    </reviewItem>
    <reviewItem>
      <errorID>5d273c1d-58fe-452b-bd89-ebcba3a55f0c</errorID>
      <errorWord>、以及</errorWord>
      <group>L1_Punc</group>
      <groupName>标点问题</groupName>
      <ability>L2_Punc_CN</ability>
      <abilityName>标点符号问题</abilityName>
      <candidateList>
        <item>，以及</item>
      </candidateList>
      <explain>连接词前后不宜使用顿号，建议使用逗号。</explain>
      <paraID>500BF7B7</paraID>
      <start>79</start>
      <end>82</end>
      <status>unmodified</status>
      <modifiedWord/>
      <trackRevisions>false</trackRevisions>
    </reviewItem>
    <reviewItem>
      <errorID>2d87ebff-82eb-47ee-b60f-8a0bff03e774</errorID>
      <errorWord>(</errorWord>
      <group>L1_Format</group>
      <groupName>格式问题</groupName>
      <ability>L2_HalfPunc_CN</ability>
      <abilityName>全半角问题</abilityName>
      <candidateList>
        <item>（</item>
      </candidateList>
      <explain>文本全半角错误。</explain>
      <paraID>76E1CF2F</paraID>
      <start>18</start>
      <end>19</end>
      <status>unmodified</status>
      <modifiedWord/>
      <trackRevisions>false</trackRevisions>
    </reviewItem>
    <reviewItem>
      <errorID>cf1ab081-fcf4-4112-a1c8-fce617785143</errorID>
      <errorWord>)</errorWord>
      <group>L1_Format</group>
      <groupName>格式问题</groupName>
      <ability>L2_HalfPunc_CN</ability>
      <abilityName>全半角问题</abilityName>
      <candidateList>
        <item>）</item>
      </candidateList>
      <explain>文本全半角错误。</explain>
      <paraID>76E1CF2F</paraID>
      <start>29</start>
      <end>30</end>
      <status>unmodified</status>
      <modifiedWord/>
      <trackRevisions>false</trackRevisions>
    </reviewItem>
    <reviewItem>
      <errorID>9921a6d7-65fc-4cd6-8920-004cd5647055</errorID>
      <errorWord>、以及</errorWord>
      <group>L1_Punc</group>
      <groupName>标点问题</groupName>
      <ability>L2_Punc_CN</ability>
      <abilityName>标点符号问题</abilityName>
      <candidateList>
        <item>，以及</item>
      </candidateList>
      <explain>连接词前后不宜使用顿号，建议使用逗号。</explain>
      <paraID>76E1CF2F</paraID>
      <start>178</start>
      <end>181</end>
      <status>unmodified</status>
      <modifiedWord/>
      <trackRevisions>false</trackRevisions>
    </reviewItem>
    <reviewItem>
      <errorID>a3ac434d-b480-433e-ba10-b1e1f98547ef</errorID>
      <errorWord>几率</errorWord>
      <group>L1_Word</group>
      <groupName>字词问题</groupName>
      <ability>L2_Typo</ability>
      <abilityName>字词错误</abilityName>
      <candidateList>
        <item>概率</item>
      </candidateList>
      <explain/>
      <paraID>12B3F1EB</paraID>
      <start>2</start>
      <end>4</end>
      <status>unmodified</status>
      <modifiedWord/>
      <trackRevisions>false</trackRevisions>
    </reviewItem>
    <reviewItem>
      <errorID>9f2289fb-ac0f-4ac9-8fce-9d9a2f652eec</errorID>
      <errorWord>几率</errorWord>
      <group>L1_Word</group>
      <groupName>字词问题</groupName>
      <ability>L2_Typo</ability>
      <abilityName>字词错误</abilityName>
      <candidateList>
        <item>概率</item>
      </candidateList>
      <explain/>
      <paraID>23405A7F</paraID>
      <start>2</start>
      <end>4</end>
      <status>unmodified</status>
      <modifiedWord/>
      <trackRevisions>false</trackRevisions>
    </reviewItem>
    <reviewItem>
      <errorID>6327104c-31c3-4527-9824-8296f3c35291</errorID>
      <errorWord>其它</errorWord>
      <group>L1_Word</group>
      <groupName>字词问题</groupName>
      <ability>L2_Alias</ability>
      <abilityName>也作/曾用词</abilityName>
      <candidateList>
        <item>其他</item>
      </candidateList>
      <explain>词汇[其它]为不规范表述或旧称，其规范书面表述为[其他]。</explain>
      <paraID>716311AC</paraID>
      <start>0</start>
      <end>2</end>
      <status>unmodified</status>
      <modifiedWord/>
      <trackRevisions>false</trackRevisions>
    </reviewItem>
    <reviewItem>
      <errorID>af08b65f-6ebd-4e98-b799-b874e8054c53</errorID>
      <errorWord>、以及</errorWord>
      <group>L1_Punc</group>
      <groupName>标点问题</groupName>
      <ability>L2_Punc_CN</ability>
      <abilityName>标点符号问题</abilityName>
      <candidateList>
        <item>，以及</item>
      </candidateList>
      <explain>连接词前后不宜使用顿号，建议使用逗号。</explain>
      <paraID>5B104F06</paraID>
      <start>59</start>
      <end>62</end>
      <status>unmodified</status>
      <modifiedWord/>
      <trackRevisions>false</trackRevisions>
    </reviewItem>
    <reviewItem>
      <errorID>14f673c1-7e4f-4531-8a76-eef8bdb8e07e</errorID>
      <errorWord>分</errorWord>
      <group>L1_Word</group>
      <groupName>字词问题</groupName>
      <ability>L2_Typo</ability>
      <abilityName>字词错误</abilityName>
      <candidateList>
        <item>分为</item>
      </candidateList>
      <explain/>
      <paraID>742D7B13</paraID>
      <start>77</start>
      <end>78</end>
      <status>unmodified</status>
      <modifiedWord/>
      <trackRevisions>false</trackRevisions>
    </reviewItem>
    <reviewItem>
      <errorID>7f680e3f-8e75-4385-9e9c-579c94e1c7ad</errorID>
      <errorWord>其它</errorWord>
      <group>L1_Word</group>
      <groupName>字词问题</groupName>
      <ability>L2_Alias</ability>
      <abilityName>也作/曾用词</abilityName>
      <candidateList>
        <item>其他</item>
      </candidateList>
      <explain>词汇[其它]为不规范表述或旧称，其规范书面表述为[其他]。</explain>
      <paraID>1EE88F20</paraID>
      <start>0</start>
      <end>2</end>
      <status>unmodified</status>
      <modifiedWord/>
      <trackRevisions>false</trackRevisions>
    </reviewItem>
    <reviewItem>
      <errorID>65bd0c2b-a5f4-4a53-9260-4383466f7ee5</errorID>
      <errorWord>(</errorWord>
      <group>L1_Format</group>
      <groupName>格式问题</groupName>
      <ability>L2_HalfPunc_CN</ability>
      <abilityName>全半角问题</abilityName>
      <candidateList>
        <item>（</item>
      </candidateList>
      <explain>文本全半角错误。</explain>
      <paraID>5021BA42</paraID>
      <start>5</start>
      <end>6</end>
      <status>unmodified</status>
      <modifiedWord/>
      <trackRevisions>false</trackRevisions>
    </reviewItem>
    <reviewItem>
      <errorID>0fdba634-826a-49c9-af52-7e3c1bd441d6</errorID>
      <errorWord>)</errorWord>
      <group>L1_Format</group>
      <groupName>格式问题</groupName>
      <ability>L2_HalfPunc_CN</ability>
      <abilityName>全半角问题</abilityName>
      <candidateList>
        <item>）</item>
      </candidateList>
      <explain>文本全半角错误。</explain>
      <paraID>5021BA42</paraID>
      <start>7</start>
      <end>8</end>
      <status>unmodified</status>
      <modifiedWord/>
      <trackRevisions>false</trackRevisions>
    </reviewItem>
    <reviewItem>
      <errorID>d918445b-f8d1-4e69-ac28-ddb0a4ca2a96</errorID>
      <errorWord>(</errorWord>
      <group>L1_Format</group>
      <groupName>格式问题</groupName>
      <ability>L2_HalfPunc_CN</ability>
      <abilityName>全半角问题</abilityName>
      <candidateList>
        <item>（</item>
      </candidateList>
      <explain>文本全半角错误。</explain>
      <paraID>6D3B1211</paraID>
      <start>5</start>
      <end>6</end>
      <status>unmodified</status>
      <modifiedWord/>
      <trackRevisions>false</trackRevisions>
    </reviewItem>
    <reviewItem>
      <errorID>d4803165-f943-47bf-9055-5ba67fc0c6a3</errorID>
      <errorWord>)</errorWord>
      <group>L1_Format</group>
      <groupName>格式问题</groupName>
      <ability>L2_HalfPunc_CN</ability>
      <abilityName>全半角问题</abilityName>
      <candidateList>
        <item>）</item>
      </candidateList>
      <explain>文本全半角错误。</explain>
      <paraID>6D3B1211</paraID>
      <start>7</start>
      <end>8</end>
      <status>unmodified</status>
      <modifiedWord/>
      <trackRevisions>false</trackRevisions>
    </reviewItem>
    <reviewItem>
      <errorID>fb4d49b9-ea9c-49ba-828e-bf9c13767539</errorID>
      <errorWord>(</errorWord>
      <group>L1_Format</group>
      <groupName>格式问题</groupName>
      <ability>L2_HalfPunc_CN</ability>
      <abilityName>全半角问题</abilityName>
      <candidateList>
        <item>（</item>
      </candidateList>
      <explain>文本全半角错误。</explain>
      <paraID>40061416</paraID>
      <start>4</start>
      <end>5</end>
      <status>unmodified</status>
      <modifiedWord/>
      <trackRevisions>false</trackRevisions>
    </reviewItem>
    <reviewItem>
      <errorID>2fb2e1c5-c3fe-4444-a161-afc82b6c3e9f</errorID>
      <errorWord>)</errorWord>
      <group>L1_Format</group>
      <groupName>格式问题</groupName>
      <ability>L2_HalfPunc_CN</ability>
      <abilityName>全半角问题</abilityName>
      <candidateList>
        <item>）</item>
      </candidateList>
      <explain>文本全半角错误。</explain>
      <paraID>40061416</paraID>
      <start>6</start>
      <end>7</end>
      <status>unmodified</status>
      <modifiedWord/>
      <trackRevisions>false</trackRevisions>
    </reviewItem>
    <reviewItem>
      <errorID>1ee2aa0b-768e-4959-93f1-edd9d81fa90e</errorID>
      <errorWord>其它</errorWord>
      <group>L1_Word</group>
      <groupName>字词问题</groupName>
      <ability>L2_Alias</ability>
      <abilityName>也作/曾用词</abilityName>
      <candidateList>
        <item>其他</item>
      </candidateList>
      <explain>词汇[其它]为不规范表述或旧称，其规范书面表述为[其他]。</explain>
      <paraID>6DBDC965</paraID>
      <start>0</start>
      <end>2</end>
      <status>unmodified</status>
      <modifiedWord/>
      <trackRevisions>false</trackRevisions>
    </reviewItem>
    <reviewItem>
      <errorID>6f8eb977-af86-44a0-9e2d-866ed4e399fe</errorID>
      <errorWord>-</errorWord>
      <group>L1_Format</group>
      <groupName>格式问题</groupName>
      <ability>L2_HalfPunc_CN</ability>
      <abilityName>全半角问题</abilityName>
      <candidateList>
        <item>－</item>
      </candidateList>
      <explain>文本全半角错误。</explain>
      <paraID>6D48ED84</paraID>
      <start>33</start>
      <end>34</end>
      <status>unmodified</status>
      <modifiedWord/>
      <trackRevisions>false</trackRevisions>
    </reviewItem>
    <reviewItem>
      <errorID>6285186f-ac92-4e12-a7f7-9d12beb4268b</errorID>
      <errorWord>泄露</errorWord>
      <group>L1_Word</group>
      <groupName>字词问题</groupName>
      <ability>L2_Typo</ability>
      <abilityName>字词错误</abilityName>
      <candidateList>
        <item>泄漏</item>
      </candidateList>
      <explain>存在发音相同字词的误用。</explain>
      <paraID>7FD8FED7</paraID>
      <start>6</start>
      <end>8</end>
      <status>unmodified</status>
      <modifiedWord/>
      <trackRevisions>false</trackRevisions>
    </reviewItem>
    <reviewItem>
      <errorID>74e36304-91c2-41d4-98f6-b9593f9bec21</errorID>
      <errorWord>-</errorWord>
      <group>L1_Format</group>
      <groupName>格式问题</groupName>
      <ability>L2_HalfPunc_CN</ability>
      <abilityName>全半角问题</abilityName>
      <candidateList>
        <item>－</item>
      </candidateList>
      <explain>文本全半角错误。</explain>
      <paraID>2950B49F</paraID>
      <start>34</start>
      <end>35</end>
      <status>unmodified</status>
      <modifiedWord/>
      <trackRevisions>false</trackRevisions>
    </reviewItem>
    <reviewItem>
      <errorID>89676def-4cef-4e6f-a249-7ff2d4a46b00</errorID>
      <errorWord>、和</errorWord>
      <group>L1_Word</group>
      <groupName>字词问题</groupName>
      <ability>L2_Typo</ability>
      <abilityName>字词错误</abilityName>
      <candidateList>
        <item>、</item>
      </candidateList>
      <explain/>
      <paraID>555201C0</paraID>
      <start>34</start>
      <end>36</end>
      <status>unmodified</status>
      <modifiedWord/>
      <trackRevisions>false</trackRevisions>
    </reviewItem>
    <reviewItem>
      <errorID>31c8f778-932e-44b7-b1ae-3492f5e93f14</errorID>
      <errorWord>程</errorWord>
      <group>L1_Word</group>
      <groupName>字词问题</groupName>
      <ability>L2_Typo</ability>
      <abilityName>字词错误</abilityName>
      <candidateList>
        <item>程中</item>
      </candidateList>
      <explain/>
      <paraID>5013F7C9</paraID>
      <start>66</start>
      <end>67</end>
      <status>unmodified</status>
      <modifiedWord/>
      <trackRevisions>false</trackRevisions>
    </reviewItem>
    <reviewItem>
      <errorID>62da2489-4ff8-4652-98b4-d6112e018b46</errorID>
      <errorWord>如有</errorWord>
      <group>L1_Word</group>
      <groupName>字词问题</groupName>
      <ability>L2_Typo</ability>
      <abilityName>字词错误</abilityName>
      <candidateList>
        <item>如</item>
      </candidateList>
      <explain/>
      <paraID>73AC0DFC</paraID>
      <start>21</start>
      <end>23</end>
      <status>unmodified</status>
      <modifiedWord/>
      <trackRevisions>false</trackRevisions>
    </reviewItem>
    <reviewItem>
      <errorID>5cd1a5bf-1efb-4df9-a702-4decce2f8da9</errorID>
      <errorWord>上报到</errorWord>
      <group>L1_Word</group>
      <groupName>字词问题</groupName>
      <ability>L2_Typo</ability>
      <abilityName>字词错误</abilityName>
      <candidateList>
        <item>上报</item>
      </candidateList>
      <explain/>
      <paraID>4E7313F2</paraID>
      <start>80</start>
      <end>83</end>
      <status>unmodified</status>
      <modifiedWord/>
      <trackRevisions>false</trackRevisions>
    </reviewItem>
    <reviewItem>
      <errorID>071d421b-ac7e-4b3a-be68-6f889dfcadfa</errorID>
      <errorWord>对于</errorWord>
      <group>L1_Word</group>
      <groupName>字词问题</groupName>
      <ability>L2_Typo</ability>
      <abilityName>字词错误</abilityName>
      <candidateList>
        <item>对</item>
      </candidateList>
      <explain/>
      <paraID>3786E4F2</paraID>
      <start>67</start>
      <end>69</end>
      <status>unmodified</status>
      <modifiedWord/>
      <trackRevisions>false</trackRevisions>
    </reviewItem>
    <reviewItem>
      <errorID>e77596e0-f51e-48f9-a620-f9f64f60fac5</errorID>
      <errorWord>对于</errorWord>
      <group>L1_Word</group>
      <groupName>字词问题</groupName>
      <ability>L2_Typo</ability>
      <abilityName>字词错误</abilityName>
      <candidateList>
        <item>对</item>
      </candidateList>
      <explain/>
      <paraID>43B22A9F</paraID>
      <start>3</start>
      <end>5</end>
      <status>unmodified</status>
      <modifiedWord/>
      <trackRevisions>false</trackRevisions>
    </reviewItem>
    <reviewItem>
      <errorID>a6afdbf7-fa81-4b53-8c20-f614fdf7c106</errorID>
      <errorWord>、和</errorWord>
      <group>L1_Word</group>
      <groupName>字词问题</groupName>
      <ability>L2_Typo</ability>
      <abilityName>字词错误</abilityName>
      <candidateList>
        <item>、</item>
      </candidateList>
      <explain/>
      <paraID>4C835D55</paraID>
      <start>50</start>
      <end>52</end>
      <status>unmodified</status>
      <modifiedWord/>
      <trackRevisions>false</trackRevisions>
    </reviewItem>
    <reviewItem>
      <errorID>b3aba2bc-8ce0-4590-bbf8-75d922f42f85</errorID>
      <errorWord>-</errorWord>
      <group>L1_Format</group>
      <groupName>格式问题</groupName>
      <ability>L2_HalfPunc_CN</ability>
      <abilityName>全半角问题</abilityName>
      <candidateList>
        <item>－</item>
      </candidateList>
      <explain>文本全半角错误。</explain>
      <paraID>6CACADC1</paraID>
      <start>69</start>
      <end>70</end>
      <status>unmodified</status>
      <modifiedWord/>
      <trackRevisions>false</trackRevisions>
    </reviewItem>
    <reviewItem>
      <errorID>c56170a9-db98-4d75-855e-09f9cf9d2d45</errorID>
      <errorWord>对于</errorWord>
      <group>L1_Word</group>
      <groupName>字词问题</groupName>
      <ability>L2_Typo</ability>
      <abilityName>字词错误</abilityName>
      <candidateList>
        <item>对</item>
      </candidateList>
      <explain/>
      <paraID>73744186</paraID>
      <start>34</start>
      <end>36</end>
      <status>unmodified</status>
      <modifiedWord/>
      <trackRevisions>false</trackRevisions>
    </reviewItem>
    <reviewItem>
      <errorID>6cafd3f8-0602-4a67-8cb8-c457db5a8681</errorID>
      <errorWord>等的</errorWord>
      <group>L1_Word</group>
      <groupName>字词问题</groupName>
      <ability>L2_Typo</ability>
      <abilityName>字词错误</abilityName>
      <candidateList>
        <item>等</item>
      </candidateList>
      <explain/>
      <paraID>73744186</paraID>
      <start>125</start>
      <end>127</end>
      <status>unmodified</status>
      <modifiedWord/>
      <trackRevisions>false</trackRevisions>
    </reviewItem>
    <reviewItem>
      <errorID>9f512e65-c9d5-40b6-954d-cc17d286b394</errorID>
      <errorWord>区</errorWord>
      <group>L1_Word</group>
      <groupName>字词问题</groupName>
      <ability>L2_Typo</ability>
      <abilityName>字词错误</abilityName>
      <candidateList>
        <item>区域</item>
      </candidateList>
      <explain/>
      <paraID>326680E5</paraID>
      <start>9</start>
      <end>10</end>
      <status>unmodified</status>
      <modifiedWord/>
      <trackRevisions>false</trackRevisions>
    </reviewItem>
    <reviewItem>
      <errorID>2b5ec46b-5bf7-4b3c-8bdd-69f22dbbccdc</errorID>
      <errorWord>、和</errorWord>
      <group>L1_Word</group>
      <groupName>字词问题</groupName>
      <ability>L2_Typo</ability>
      <abilityName>字词错误</abilityName>
      <candidateList>
        <item>、</item>
      </candidateList>
      <explain/>
      <paraID>72E9EBB3</paraID>
      <start>35</start>
      <end>37</end>
      <status>unmodified</status>
      <modifiedWord/>
      <trackRevisions>false</trackRevisions>
    </reviewItem>
    <reviewItem>
      <errorID>79681637-2064-45ee-8335-8fb2143f54fd</errorID>
      <errorWord>泄露</errorWord>
      <group>L1_Word</group>
      <groupName>字词问题</groupName>
      <ability>L2_Typo</ability>
      <abilityName>字词错误</abilityName>
      <candidateList>
        <item>泄漏</item>
      </candidateList>
      <explain>存在发音相同字词的误用。</explain>
      <paraID>39EB3A04</paraID>
      <start>186</start>
      <end>188</end>
      <status>unmodified</status>
      <modifiedWord/>
      <trackRevisions>false</trackRevisions>
    </reviewItem>
    <reviewItem>
      <errorID>57b7e40f-a4e7-4d0e-b4e1-20c3e6037797</errorID>
      <errorWord>，</errorWord>
      <group>L1_Word</group>
      <groupName>字词问题</groupName>
      <ability>L2_Typo</ability>
      <abilityName>字词错误</abilityName>
      <candidateList>
        <item>，在</item>
      </candidateList>
      <explain/>
      <paraID>499C2537</paraID>
      <start>67</start>
      <end>68</end>
      <status>unmodified</status>
      <modifiedWord/>
      <trackRevisions>false</trackRevisions>
    </reviewItem>
    <reviewItem>
      <errorID>9160be53-12f3-41a6-b8cb-593acbed9222</errorID>
      <errorWord>：</errorWord>
      <group>L1_Format</group>
      <groupName>格式问题</groupName>
      <ability>L2_HalfPunc_CN</ability>
      <abilityName>全半角问题</abilityName>
      <candidateList>
        <item>:</item>
      </candidateList>
      <explain>文本全半角错误。</explain>
      <paraID>62C2D720</paraID>
      <start>19</start>
      <end>20</end>
      <status>unmodified</status>
      <modifiedWord/>
      <trackRevisions>false</trackRevisions>
    </reviewItem>
    <reviewItem>
      <errorID>7345e386-0cff-4d80-beb0-8ff5c2f64dd3</errorID>
      <errorWord>：</errorWord>
      <group>L1_Format</group>
      <groupName>格式问题</groupName>
      <ability>L2_HalfPunc_CN</ability>
      <abilityName>全半角问题</abilityName>
      <candidateList>
        <item>:</item>
      </candidateList>
      <explain>文本全半角错误。</explain>
      <paraID>62C2D720</paraID>
      <start>26</start>
      <end>27</end>
      <status>unmodified</status>
      <modifiedWord/>
      <trackRevisions>false</trackRevisions>
    </reviewItem>
    <reviewItem>
      <errorID>eeb9c962-1cf9-41b9-901f-d9575363f0e9</errorID>
      <errorWord>：</errorWord>
      <group>L1_Format</group>
      <groupName>格式问题</groupName>
      <ability>L2_HalfPunc_CN</ability>
      <abilityName>全半角问题</abilityName>
      <candidateList>
        <item>:</item>
      </candidateList>
      <explain>文本全半角错误。</explain>
      <paraID>70BC7DB8</paraID>
      <start>19</start>
      <end>20</end>
      <status>unmodified</status>
      <modifiedWord/>
      <trackRevisions>false</trackRevisions>
    </reviewItem>
    <reviewItem>
      <errorID>4b20d272-b0a6-4dff-a27e-105ce99cd83d</errorID>
      <errorWord>：</errorWord>
      <group>L1_Format</group>
      <groupName>格式问题</groupName>
      <ability>L2_HalfPunc_CN</ability>
      <abilityName>全半角问题</abilityName>
      <candidateList>
        <item>:</item>
      </candidateList>
      <explain>文本全半角错误。</explain>
      <paraID>70BC7DB8</paraID>
      <start>27</start>
      <end>28</end>
      <status>unmodified</status>
      <modifiedWord/>
      <trackRevisions>false</trackRevisions>
    </reviewItem>
    <reviewItem>
      <errorID>e7d04b5f-01ac-44c8-9bdc-86b097a75c09</errorID>
      <errorWord>作</errorWord>
      <group>L1_Word</group>
      <groupName>字词问题</groupName>
      <ability>L2_Typo</ability>
      <abilityName>字词错误</abilityName>
      <candidateList>
        <item>做</item>
      </candidateList>
      <explain>存在发音相同字词的误用。</explain>
      <paraID>32051CB1</paraID>
      <start>192</start>
      <end>193</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3b4bc8-092d-47d6-a0f6-a111bfe45a79}">
  <ds:schemaRefs/>
</ds:datastoreItem>
</file>

<file path=customXml/itemProps3.xml><?xml version="1.0" encoding="utf-8"?>
<ds:datastoreItem xmlns:ds="http://schemas.openxmlformats.org/officeDocument/2006/customXml" ds:itemID="{233ADC47-2288-4A70-AAF0-35B27B0FB789}">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101</Pages>
  <Words>40034</Words>
  <Characters>44071</Characters>
  <Lines>437</Lines>
  <Paragraphs>123</Paragraphs>
  <TotalTime>29</TotalTime>
  <ScaleCrop>false</ScaleCrop>
  <LinksUpToDate>false</LinksUpToDate>
  <CharactersWithSpaces>51996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2022-12-26T02:43:00Z</dcterms:created>
  <dc:creator>lhj</dc:creator>
  <cp:lastModifiedBy>赵爽</cp:lastModifiedBy>
  <cp:lastPrinted>2025-06-09T06:57:00Z</cp:lastPrinted>
  <dcterms:modified xsi:type="dcterms:W3CDTF">2026-09-07T01:35:47Z</dcterms:modified>
  <dc:title>附件2</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B696102B2260454A85F342179ECB0BD5_13</vt:lpwstr>
  </property>
  <property fmtid="{D5CDD505-2E9C-101B-9397-08002B2CF9AE}" pid="4" name="KSOTemplateDocerSaveRecord">
    <vt:lpwstr>eyJoZGlkIjoiYjY3YzRiYTRiOTdiZmVhNjQwMjNmOGQ2ZGFjNThhYjUiLCJ1c2VySWQiOiI0MzQ5NzAwNzIifQ==</vt:lpwstr>
  </property>
</Properties>
</file>